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37" w:name="_GoBack"/>
      <w:bookmarkEnd w:id="37"/>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特克斯县阔克铁热克柯尔克孜民族乡</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pStyle w:val="2"/>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w:t>
      </w:r>
      <w:r>
        <w:rPr>
          <w:rFonts w:hint="eastAsia" w:hAnsi="宋体" w:eastAsia="仿宋_GB2312" w:cs="宋体"/>
          <w:kern w:val="0"/>
          <w:sz w:val="36"/>
          <w:szCs w:val="36"/>
          <w:lang w:val="en-US" w:eastAsia="zh-CN"/>
        </w:rPr>
        <w:t>特克斯县阔克铁热克乡人民政府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日</w:t>
      </w:r>
    </w:p>
    <w:p>
      <w:pPr>
        <w:pStyle w:val="5"/>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6"/>
        <w:spacing w:line="360" w:lineRule="auto"/>
        <w:rPr>
          <w:rStyle w:val="18"/>
          <w:rFonts w:ascii="仿宋" w:hAnsi="仿宋" w:eastAsia="仿宋"/>
          <w:b/>
          <w:bCs/>
        </w:rPr>
      </w:pPr>
      <w:bookmarkStart w:id="2" w:name="_Toc70450290"/>
      <w:r>
        <w:rPr>
          <w:rStyle w:val="18"/>
          <w:rFonts w:hint="eastAsia" w:ascii="仿宋" w:hAnsi="仿宋" w:eastAsia="仿宋"/>
          <w:b/>
          <w:bCs/>
        </w:rPr>
        <w:t>（一）部门单位基本情况</w:t>
      </w:r>
      <w:bookmarkEnd w:id="2"/>
    </w:p>
    <w:p>
      <w:pPr>
        <w:pStyle w:val="14"/>
        <w:keepNext w:val="0"/>
        <w:keepLines w:val="0"/>
        <w:widowControl/>
        <w:suppressLineNumbers w:val="0"/>
        <w:ind w:firstLine="562" w:firstLineChars="200"/>
        <w:rPr>
          <w:rStyle w:val="18"/>
          <w:rFonts w:hint="eastAsia" w:ascii="仿宋" w:hAnsi="仿宋" w:eastAsia="仿宋" w:cs="Times New Roman"/>
          <w:kern w:val="2"/>
          <w:sz w:val="28"/>
          <w:szCs w:val="28"/>
          <w:lang w:val="en-US" w:eastAsia="zh-CN" w:bidi="ar-SA"/>
        </w:rPr>
      </w:pPr>
      <w:bookmarkStart w:id="3" w:name="_Toc70450291"/>
      <w:r>
        <w:rPr>
          <w:rStyle w:val="18"/>
          <w:rFonts w:hint="eastAsia" w:ascii="仿宋" w:hAnsi="仿宋" w:eastAsia="仿宋" w:cs="Times New Roman"/>
          <w:kern w:val="2"/>
          <w:sz w:val="28"/>
          <w:szCs w:val="28"/>
          <w:lang w:val="en-US" w:eastAsia="zh-CN" w:bidi="ar-SA"/>
        </w:rPr>
        <w:t>1、主要职能</w:t>
      </w:r>
      <w:bookmarkEnd w:id="3"/>
    </w:p>
    <w:p>
      <w:pPr>
        <w:pStyle w:val="14"/>
        <w:keepNext w:val="0"/>
        <w:keepLines w:val="0"/>
        <w:widowControl/>
        <w:suppressLineNumbers w:val="0"/>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党政办公室。主要负责文秘、档案、保密、翻译、综合协调、后勤保障等工作；负责制定乡镇机关各项工作制度并监督落实；负责乡镇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pPr>
        <w:pStyle w:val="14"/>
        <w:keepNext w:val="0"/>
        <w:keepLines w:val="0"/>
        <w:widowControl/>
        <w:suppressLineNumbers w:val="0"/>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党建办公室。主要负责纪检、党务、组织、宣传、机构编制、人事、老干部等工作的规划、管理、协调和监督工作；负责宣传党的各项方针、政策；负责党的基层组织建设和党员队伍建设工作；负责党风廉政建设工作；负责人大、团委、工会、妇联等日常事务；负责政协委员的联络工作；负责“访惠聚”驻村工作、升国旗、农牧民夜校、“民族团结一家亲”、村（社区）考核；负责辖区社团组织的培育、发展和管理；负责组织开展辖区居民的宣传、发动、服务工作；负责特殊群体的帮教帮扶、解决居民困难诉求等工作。</w:t>
      </w:r>
    </w:p>
    <w:p>
      <w:pPr>
        <w:snapToGrid w:val="0"/>
        <w:spacing w:line="520" w:lineRule="exact"/>
        <w:ind w:firstLine="544" w:firstLineChars="200"/>
        <w:rPr>
          <w:rStyle w:val="18"/>
          <w:rFonts w:hint="default"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综合行政执法队：开展市场监管、文化市场、农业、交通运输、环境保护、村容村貌、规划、建设，住房保障、安全生产、水利、食品药品等领域日常执法检查，一般违法案件查处，依法相对集中行使行政处罚权，以乡镇名义开展执法工作，并接受有关县级主管部门的业务指导和监督。</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农村合作经济（统计）发展忠中心：主要负责农村经济管理、财务管理等工作；负责农村集体经济，为农村集体经济健康发展提供保障和服务工作；负责镇政府财政预算决算的编制、办理各项收支结算和对帐、报帐工作；履行统计职责。</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农业（畜牧业）发展服务中心：主要负责农业、畜牧、兽医、草原、林业、农技、农机、水利、科技等方面的服务工作；协助镇政府制定农业、林业、畜牧业、科技等工作的长远发展规划和年度计划并组织实施。</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村镇规划建设发展中心：主要负责国土资源、规划建设、园林绿化、环境保护、交通等方面的服务工作；协助镇政府制定国土资源、园林绿化、环境保护的长远规划和年度计划并组织实施；协助镇政府贯彻落实统筹城乡发展、加快推进城乡一体化工作总体部署和目标。</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综治中心（特克斯县特克斯镇网格化服务中心）：负责社会治安综合治理、法治建设、平安创建、网格化管理、安全生产、应急管理、人民武装等方面的服务工作；负责群众信访、矛盾纠纷调解、安置帮教、社区矫正、普法、预防未成年人违法犯罪等工作；负责流动****管理工作，管理指导基层网格员队伍等；协助镇政府制定社会治安综合治理、法治建设、平安创建、网格化管理、安全生产等工作的长远规划和年度计划并组织实施。</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和****生殖健康服务站：负责宣传党和国家有关****的方针、政策、法律，普及****科学知识，负责开展****技术、优生优育等方面和科技引进推广活动；负责做好地方卫生防疫、地方病防治和公共卫生监督等工作；负责承担妇幼保健技术指导、健康教育的宣传工作。</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社会保障（民政）服务中心：负责民政、教育、劳动就业、社会保障、社会救助、退役军、残疾人事业、红十字会等方面的服务工作；协助镇政府制定民政、教育、劳动就业、社会保障、社会救助、退役军等工作的长远发展规划和年度计划并组织实施。</w:t>
      </w:r>
    </w:p>
    <w:p>
      <w:pPr>
        <w:snapToGrid w:val="0"/>
        <w:spacing w:line="520" w:lineRule="exact"/>
        <w:ind w:firstLine="544" w:firstLineChars="200"/>
        <w:rPr>
          <w:rStyle w:val="18"/>
          <w:rFonts w:asciiTheme="minorEastAsia" w:hAnsiTheme="minorEastAsia"/>
          <w:bCs w:val="0"/>
          <w:color w:val="FF0000"/>
          <w:spacing w:val="-4"/>
          <w:sz w:val="28"/>
          <w:szCs w:val="28"/>
        </w:rPr>
      </w:pPr>
      <w:r>
        <w:rPr>
          <w:rStyle w:val="18"/>
          <w:rFonts w:hint="eastAsia" w:ascii="仿宋_GB2312" w:hAnsi="楷体" w:eastAsia="仿宋_GB2312" w:cs="Times New Roman"/>
          <w:b w:val="0"/>
          <w:spacing w:val="-4"/>
          <w:kern w:val="2"/>
          <w:sz w:val="28"/>
          <w:szCs w:val="28"/>
          <w:lang w:val="en-US" w:eastAsia="zh-CN" w:bidi="ar-SA"/>
        </w:rPr>
        <w:t>文体广电旅游服务中心：主要负责文化、宣传、体育、广播电视、旅游等方面的服务工作；协助镇政府制定文化、宣传等工作的长远发展规划和年度计划并组织实施。</w:t>
      </w:r>
    </w:p>
    <w:p>
      <w:pPr>
        <w:pStyle w:val="7"/>
        <w:spacing w:line="360" w:lineRule="auto"/>
        <w:ind w:firstLine="562" w:firstLineChars="200"/>
        <w:rPr>
          <w:rStyle w:val="18"/>
          <w:rFonts w:ascii="仿宋" w:hAnsi="仿宋" w:eastAsia="仿宋"/>
          <w:b/>
          <w:bCs/>
        </w:rPr>
      </w:pPr>
      <w:bookmarkStart w:id="4" w:name="_Toc70450292"/>
      <w:r>
        <w:rPr>
          <w:rStyle w:val="18"/>
          <w:rFonts w:hint="eastAsia" w:ascii="仿宋" w:hAnsi="仿宋" w:eastAsia="仿宋"/>
          <w:b/>
          <w:bCs/>
        </w:rPr>
        <w:t>2、机构人员构成</w:t>
      </w:r>
      <w:bookmarkEnd w:id="4"/>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（1）组织机构设置：</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特克斯县阔克铁热克柯尔克孜民族乡人民政府的预算包括：特克斯县阔克铁热克柯尔克孜民族乡人民政府本级预算及下属8家预算单位在内的汇总预算。</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特克斯县阔克铁热克柯尔克孜民族乡人民政府本级下设10个科室是：阔克铁热克乡党政办公室、阔克铁热克乡党建办公室、阔克铁热克乡经济发展办公室、阔克铁热克乡****办公室、阔克铁热克乡文化活动办公室、阔克铁热克乡社会事务办公室、阔克铁热克乡农业发展办公室、阔克铁热克乡国土规划办公室、阔克铁热克乡综合治理办公室、阔克铁热克乡综合执法办公室。</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本单位中，行政单位2家，事业单位8家，纳入特克斯县阔克铁热克柯尔克孜民族乡人民政府2021年部预算编制范围的二级预算单位包括：</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highlight w:val="none"/>
          <w:lang w:val="en-US" w:eastAsia="zh-CN" w:bidi="ar-SA"/>
        </w:rPr>
      </w:pPr>
      <w:r>
        <w:rPr>
          <w:rStyle w:val="18"/>
          <w:rFonts w:hint="eastAsia" w:ascii="仿宋_GB2312" w:hAnsi="楷体" w:eastAsia="仿宋_GB2312" w:cs="Times New Roman"/>
          <w:b w:val="0"/>
          <w:spacing w:val="-4"/>
          <w:kern w:val="2"/>
          <w:sz w:val="28"/>
          <w:szCs w:val="28"/>
          <w:lang w:val="en-US" w:eastAsia="zh-CN" w:bidi="ar-SA"/>
        </w:rPr>
        <w:t>1.阔克铁热克乡经济发展办公室2.阔克铁热克乡****办公室3.阔克铁热克乡文化活动办公室4.阔克铁热克乡社会事务办公室5.阔克铁热克乡农业发展办公室6.阔克铁热克乡国土规划办公室7.阔克铁热克乡综合治理办公室8.阔克铁热克乡综合执法办公室</w:t>
      </w:r>
      <w:r>
        <w:rPr>
          <w:rStyle w:val="18"/>
          <w:rFonts w:hint="eastAsia" w:ascii="仿宋_GB2312" w:hAnsi="楷体" w:eastAsia="仿宋_GB2312" w:cs="Times New Roman"/>
          <w:b w:val="0"/>
          <w:spacing w:val="-4"/>
          <w:kern w:val="2"/>
          <w:sz w:val="28"/>
          <w:szCs w:val="28"/>
          <w:highlight w:val="none"/>
          <w:lang w:val="en-US" w:eastAsia="zh-CN" w:bidi="ar-SA"/>
        </w:rPr>
        <w:t>9、阔克铁热克乡党委。</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（2）2021年特克斯县阔克铁热克柯尔克孜民族乡人民政府实有在职人员为130人，其中：</w:t>
      </w:r>
    </w:p>
    <w:p>
      <w:pPr>
        <w:snapToGrid w:val="0"/>
        <w:spacing w:line="520" w:lineRule="exact"/>
        <w:ind w:firstLine="544" w:firstLineChars="200"/>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行政在职30人（上年28人），同比上年增加2人；</w:t>
      </w:r>
    </w:p>
    <w:p>
      <w:pPr>
        <w:pStyle w:val="2"/>
        <w:ind w:left="0" w:leftChars="0" w:firstLine="544" w:firstLineChars="200"/>
        <w:rPr>
          <w:rStyle w:val="18"/>
          <w:rFonts w:hint="eastAsia" w:ascii="仿宋_GB2312" w:hAnsi="楷体" w:eastAsia="仿宋_GB2312" w:cs="Times New Roman"/>
          <w:b w:val="0"/>
          <w:spacing w:val="-4"/>
          <w:kern w:val="2"/>
          <w:sz w:val="28"/>
          <w:szCs w:val="28"/>
          <w:highlight w:val="none"/>
          <w:lang w:val="en-US" w:eastAsia="zh-CN" w:bidi="ar-SA"/>
        </w:rPr>
      </w:pPr>
      <w:r>
        <w:rPr>
          <w:rStyle w:val="18"/>
          <w:rFonts w:hint="eastAsia" w:ascii="仿宋_GB2312" w:hAnsi="楷体" w:eastAsia="仿宋_GB2312" w:cs="Times New Roman"/>
          <w:b w:val="0"/>
          <w:spacing w:val="-4"/>
          <w:kern w:val="2"/>
          <w:sz w:val="28"/>
          <w:szCs w:val="28"/>
          <w:highlight w:val="none"/>
          <w:lang w:val="en-US" w:eastAsia="zh-CN" w:bidi="ar-SA"/>
        </w:rPr>
        <w:t>事业在职100人（上年100人），同比上年一致；</w:t>
      </w:r>
    </w:p>
    <w:p>
      <w:pPr>
        <w:snapToGrid w:val="0"/>
        <w:spacing w:line="520" w:lineRule="exact"/>
        <w:ind w:firstLine="544" w:firstLineChars="200"/>
        <w:rPr>
          <w:rStyle w:val="18"/>
          <w:rFonts w:hint="eastAsia" w:ascii="仿宋_GB2312" w:hAnsi="楷体" w:eastAsia="仿宋_GB2312" w:cs="Times New Roman"/>
          <w:b w:val="0"/>
          <w:color w:val="auto"/>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实有离休人员0人（上年0人）,</w:t>
      </w:r>
      <w:r>
        <w:rPr>
          <w:rStyle w:val="18"/>
          <w:rFonts w:hint="eastAsia" w:ascii="仿宋_GB2312" w:hAnsi="楷体" w:eastAsia="仿宋_GB2312"/>
          <w:b w:val="0"/>
          <w:color w:val="auto"/>
          <w:spacing w:val="-4"/>
          <w:sz w:val="28"/>
          <w:szCs w:val="28"/>
        </w:rPr>
        <w:t>与上年一致</w:t>
      </w:r>
      <w:r>
        <w:rPr>
          <w:rStyle w:val="18"/>
          <w:rFonts w:hint="eastAsia" w:ascii="仿宋_GB2312" w:hAnsi="楷体" w:eastAsia="仿宋_GB2312"/>
          <w:b w:val="0"/>
          <w:color w:val="auto"/>
          <w:spacing w:val="-4"/>
          <w:sz w:val="28"/>
          <w:szCs w:val="28"/>
          <w:lang w:eastAsia="zh-CN"/>
        </w:rPr>
        <w:t>；</w:t>
      </w:r>
    </w:p>
    <w:p>
      <w:pPr>
        <w:snapToGrid w:val="0"/>
        <w:spacing w:line="520" w:lineRule="exact"/>
        <w:ind w:firstLine="544" w:firstLineChars="200"/>
        <w:rPr>
          <w:rStyle w:val="18"/>
          <w:rFonts w:hint="eastAsia" w:ascii="仿宋_GB2312" w:hAnsi="楷体" w:eastAsia="仿宋_GB2312" w:cs="Times New Roman"/>
          <w:b w:val="0"/>
          <w:color w:val="auto"/>
          <w:spacing w:val="-4"/>
          <w:kern w:val="2"/>
          <w:sz w:val="28"/>
          <w:szCs w:val="28"/>
          <w:lang w:val="en-US" w:eastAsia="zh-CN" w:bidi="ar-SA"/>
        </w:rPr>
      </w:pPr>
      <w:r>
        <w:rPr>
          <w:rStyle w:val="18"/>
          <w:rFonts w:hint="eastAsia" w:ascii="仿宋_GB2312" w:hAnsi="楷体" w:eastAsia="仿宋_GB2312" w:cs="Times New Roman"/>
          <w:b w:val="0"/>
          <w:color w:val="auto"/>
          <w:spacing w:val="-4"/>
          <w:kern w:val="2"/>
          <w:sz w:val="28"/>
          <w:szCs w:val="28"/>
          <w:lang w:val="en-US" w:eastAsia="zh-CN" w:bidi="ar-SA"/>
        </w:rPr>
        <w:t>实有退休人员56人（上年56人）,</w:t>
      </w:r>
      <w:r>
        <w:rPr>
          <w:rStyle w:val="18"/>
          <w:rFonts w:hint="eastAsia" w:ascii="仿宋_GB2312" w:hAnsi="楷体" w:eastAsia="仿宋_GB2312"/>
          <w:b w:val="0"/>
          <w:color w:val="auto"/>
          <w:spacing w:val="-4"/>
          <w:sz w:val="28"/>
          <w:szCs w:val="28"/>
        </w:rPr>
        <w:t>与上年一致</w:t>
      </w:r>
      <w:r>
        <w:rPr>
          <w:rStyle w:val="18"/>
          <w:rFonts w:hint="eastAsia" w:ascii="仿宋_GB2312" w:hAnsi="楷体" w:eastAsia="仿宋_GB2312"/>
          <w:b w:val="0"/>
          <w:color w:val="auto"/>
          <w:spacing w:val="-4"/>
          <w:sz w:val="28"/>
          <w:szCs w:val="28"/>
          <w:lang w:eastAsia="zh-CN"/>
        </w:rPr>
        <w:t>。</w:t>
      </w:r>
    </w:p>
    <w:p>
      <w:pPr>
        <w:pStyle w:val="7"/>
        <w:numPr>
          <w:ilvl w:val="0"/>
          <w:numId w:val="1"/>
        </w:numPr>
        <w:spacing w:line="360" w:lineRule="auto"/>
        <w:ind w:left="-142" w:leftChars="0" w:firstLine="562" w:firstLineChars="0"/>
        <w:rPr>
          <w:rStyle w:val="18"/>
          <w:rFonts w:hint="eastAsia" w:ascii="仿宋" w:hAnsi="仿宋" w:eastAsia="仿宋"/>
          <w:b/>
          <w:bCs/>
          <w:lang w:val="en-US" w:eastAsia="zh-CN"/>
        </w:rPr>
      </w:pPr>
      <w:bookmarkStart w:id="5" w:name="_Toc70450293"/>
      <w:r>
        <w:rPr>
          <w:rStyle w:val="18"/>
          <w:rFonts w:hint="eastAsia" w:ascii="仿宋" w:hAnsi="仿宋" w:eastAsia="仿宋"/>
          <w:b/>
          <w:bCs/>
        </w:rPr>
        <w:t>重点工作计</w:t>
      </w:r>
      <w:bookmarkEnd w:id="5"/>
      <w:r>
        <w:rPr>
          <w:rStyle w:val="18"/>
          <w:rFonts w:hint="eastAsia" w:ascii="仿宋" w:hAnsi="仿宋" w:eastAsia="仿宋"/>
          <w:b/>
          <w:bCs/>
          <w:lang w:val="en-US" w:eastAsia="zh-CN"/>
        </w:rPr>
        <w:t>划</w:t>
      </w:r>
    </w:p>
    <w:p>
      <w:pPr>
        <w:numPr>
          <w:ilvl w:val="0"/>
          <w:numId w:val="0"/>
        </w:numPr>
        <w:spacing w:line="360" w:lineRule="auto"/>
        <w:ind w:firstLine="544" w:firstLineChars="200"/>
        <w:rPr>
          <w:rStyle w:val="18"/>
          <w:rFonts w:hint="eastAsia" w:ascii="仿宋_GB2312" w:hAnsi="楷体" w:eastAsia="仿宋_GB2312"/>
          <w:b w:val="0"/>
          <w:spacing w:val="-4"/>
          <w:sz w:val="28"/>
          <w:szCs w:val="28"/>
          <w:lang w:val="en-US" w:eastAsia="zh-CN"/>
        </w:rPr>
      </w:pPr>
      <w:r>
        <w:rPr>
          <w:rStyle w:val="18"/>
          <w:rFonts w:hint="eastAsia" w:ascii="仿宋_GB2312" w:hAnsi="楷体" w:eastAsia="仿宋_GB2312"/>
          <w:b w:val="0"/>
          <w:spacing w:val="-4"/>
          <w:sz w:val="28"/>
          <w:szCs w:val="28"/>
          <w:lang w:val="en-US" w:eastAsia="zh-CN"/>
        </w:rPr>
        <w:t>1.</w:t>
      </w:r>
      <w:r>
        <w:rPr>
          <w:rStyle w:val="18"/>
          <w:rFonts w:ascii="仿宋_GB2312" w:hAnsi="楷体" w:eastAsia="仿宋_GB2312"/>
          <w:b w:val="0"/>
          <w:spacing w:val="-4"/>
          <w:sz w:val="28"/>
          <w:szCs w:val="28"/>
        </w:rPr>
        <w:t>认真贯彻落实党的十九届三中、四中、五中全会精神，深入践行党的群众路线，加快生态文明建设步伐，抓好招商引资，人才引进项目开发，不断培育市场体系，组织经济运行，促进经济发展。</w:t>
      </w:r>
      <w:r>
        <w:rPr>
          <w:rStyle w:val="18"/>
          <w:rFonts w:hint="eastAsia" w:ascii="仿宋_GB2312" w:hAnsi="楷体" w:eastAsia="仿宋_GB2312"/>
          <w:b w:val="0"/>
          <w:spacing w:val="-4"/>
          <w:sz w:val="28"/>
          <w:szCs w:val="28"/>
          <w:lang w:val="en-US" w:eastAsia="zh-CN"/>
        </w:rPr>
        <w:t xml:space="preserve"> </w:t>
      </w:r>
    </w:p>
    <w:p>
      <w:pPr>
        <w:numPr>
          <w:ilvl w:val="0"/>
          <w:numId w:val="0"/>
        </w:numPr>
        <w:spacing w:line="360" w:lineRule="auto"/>
        <w:ind w:firstLine="544" w:firstLineChars="200"/>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p>
    <w:p>
      <w:pPr>
        <w:spacing w:line="360" w:lineRule="auto"/>
        <w:ind w:firstLine="544" w:firstLineChars="200"/>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3.保证单位财政供养人员基本工资、津贴补贴、艰边补助预算的收支，保证单位工作正常开展和各项任务顺利完成。</w:t>
      </w:r>
    </w:p>
    <w:p>
      <w:pPr>
        <w:pStyle w:val="6"/>
        <w:spacing w:line="360" w:lineRule="auto"/>
        <w:rPr>
          <w:rStyle w:val="18"/>
          <w:rFonts w:ascii="仿宋" w:hAnsi="仿宋" w:eastAsia="仿宋"/>
          <w:b/>
          <w:bCs/>
          <w:sz w:val="28"/>
          <w:szCs w:val="28"/>
        </w:rPr>
      </w:pPr>
      <w:bookmarkStart w:id="6" w:name="_Toc70450294"/>
      <w:r>
        <w:rPr>
          <w:rStyle w:val="18"/>
          <w:rFonts w:hint="eastAsia" w:ascii="仿宋" w:hAnsi="仿宋" w:eastAsia="仿宋"/>
          <w:b/>
          <w:bCs/>
          <w:sz w:val="28"/>
          <w:szCs w:val="28"/>
        </w:rPr>
        <w:t>（二）部门单位整体支出规模、</w:t>
      </w:r>
      <w:bookmarkStart w:id="7" w:name="_Hlk70339807"/>
      <w:r>
        <w:rPr>
          <w:rStyle w:val="18"/>
          <w:rFonts w:hint="eastAsia" w:ascii="仿宋" w:hAnsi="仿宋" w:eastAsia="仿宋"/>
          <w:b/>
          <w:bCs/>
          <w:sz w:val="28"/>
          <w:szCs w:val="28"/>
        </w:rPr>
        <w:t>使用方法和主要内容、涉及对象及范围等</w:t>
      </w:r>
      <w:bookmarkEnd w:id="6"/>
    </w:p>
    <w:bookmarkEnd w:id="7"/>
    <w:p>
      <w:pPr>
        <w:pStyle w:val="7"/>
        <w:spacing w:line="360" w:lineRule="auto"/>
        <w:ind w:firstLine="562" w:firstLineChars="200"/>
        <w:rPr>
          <w:rStyle w:val="18"/>
          <w:rFonts w:ascii="仿宋" w:hAnsi="仿宋" w:eastAsia="仿宋"/>
          <w:b/>
          <w:bCs/>
        </w:rPr>
      </w:pPr>
      <w:bookmarkStart w:id="8" w:name="_Toc70450295"/>
      <w:r>
        <w:rPr>
          <w:rStyle w:val="18"/>
          <w:rFonts w:hint="eastAsia" w:ascii="仿宋" w:hAnsi="仿宋" w:eastAsia="仿宋"/>
          <w:b/>
          <w:bCs/>
        </w:rPr>
        <w:t>1、部门单位整体支出规模</w:t>
      </w:r>
      <w:bookmarkEnd w:id="8"/>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2021年批复我单位预算为</w:t>
      </w:r>
      <w:r>
        <w:rPr>
          <w:rStyle w:val="18"/>
          <w:rFonts w:hint="eastAsia" w:ascii="仿宋_GB2312" w:hAnsi="楷体" w:eastAsia="仿宋_GB2312"/>
          <w:b w:val="0"/>
          <w:spacing w:val="-4"/>
          <w:sz w:val="28"/>
          <w:szCs w:val="28"/>
          <w:lang w:val="en-US" w:eastAsia="zh-CN"/>
        </w:rPr>
        <w:t>4165.54</w:t>
      </w:r>
      <w:r>
        <w:rPr>
          <w:rStyle w:val="18"/>
          <w:rFonts w:hint="eastAsia" w:ascii="仿宋_GB2312" w:hAnsi="楷体" w:eastAsia="仿宋_GB2312"/>
          <w:b w:val="0"/>
          <w:spacing w:val="-4"/>
          <w:sz w:val="28"/>
          <w:szCs w:val="28"/>
        </w:rPr>
        <w:t>万元，其中：财政拨款为</w:t>
      </w:r>
      <w:r>
        <w:rPr>
          <w:rStyle w:val="18"/>
          <w:rFonts w:hint="eastAsia" w:ascii="仿宋_GB2312" w:hAnsi="楷体" w:eastAsia="仿宋_GB2312"/>
          <w:b w:val="0"/>
          <w:spacing w:val="-4"/>
          <w:sz w:val="28"/>
          <w:szCs w:val="28"/>
          <w:lang w:val="en-US" w:eastAsia="zh-CN"/>
        </w:rPr>
        <w:t>4165.54</w:t>
      </w:r>
      <w:r>
        <w:rPr>
          <w:rStyle w:val="18"/>
          <w:rFonts w:hint="eastAsia" w:ascii="仿宋_GB2312" w:hAnsi="楷体" w:eastAsia="仿宋_GB2312"/>
          <w:b w:val="0"/>
          <w:spacing w:val="-4"/>
          <w:sz w:val="28"/>
          <w:szCs w:val="28"/>
        </w:rPr>
        <w:t>万元</w:t>
      </w:r>
      <w:r>
        <w:rPr>
          <w:rStyle w:val="18"/>
          <w:rFonts w:hint="eastAsia" w:ascii="仿宋_GB2312" w:hAnsi="楷体" w:eastAsia="仿宋_GB2312"/>
          <w:b w:val="0"/>
          <w:spacing w:val="-4"/>
          <w:sz w:val="28"/>
          <w:szCs w:val="28"/>
          <w:lang w:eastAsia="zh-CN"/>
        </w:rPr>
        <w:t>。</w:t>
      </w:r>
      <w:r>
        <w:rPr>
          <w:rStyle w:val="18"/>
          <w:rFonts w:hint="eastAsia" w:ascii="仿宋_GB2312" w:hAnsi="楷体" w:eastAsia="仿宋_GB2312"/>
          <w:b w:val="0"/>
          <w:spacing w:val="-4"/>
          <w:sz w:val="28"/>
          <w:szCs w:val="28"/>
        </w:rPr>
        <w:t>年中追加</w:t>
      </w:r>
      <w:r>
        <w:rPr>
          <w:rStyle w:val="18"/>
          <w:rFonts w:hint="eastAsia" w:ascii="仿宋_GB2312" w:hAnsi="楷体" w:eastAsia="仿宋_GB2312"/>
          <w:b w:val="0"/>
          <w:spacing w:val="-4"/>
          <w:sz w:val="28"/>
          <w:szCs w:val="28"/>
          <w:lang w:val="en-US" w:eastAsia="zh-CN"/>
        </w:rPr>
        <w:t>2715.32</w:t>
      </w:r>
      <w:r>
        <w:rPr>
          <w:rStyle w:val="18"/>
          <w:rFonts w:hint="eastAsia" w:ascii="仿宋_GB2312" w:hAnsi="楷体" w:eastAsia="仿宋_GB2312"/>
          <w:b w:val="0"/>
          <w:spacing w:val="-4"/>
          <w:sz w:val="28"/>
          <w:szCs w:val="28"/>
        </w:rPr>
        <w:t>万元，调整率</w:t>
      </w:r>
      <w:r>
        <w:rPr>
          <w:rStyle w:val="18"/>
          <w:rFonts w:hint="eastAsia" w:ascii="仿宋_GB2312" w:hAnsi="楷体" w:eastAsia="仿宋_GB2312"/>
          <w:b w:val="0"/>
          <w:spacing w:val="-4"/>
          <w:sz w:val="28"/>
          <w:szCs w:val="28"/>
          <w:lang w:val="en-US" w:eastAsia="zh-CN"/>
        </w:rPr>
        <w:t>187.24%</w:t>
      </w:r>
      <w:r>
        <w:rPr>
          <w:rStyle w:val="18"/>
          <w:rFonts w:hint="eastAsia" w:ascii="仿宋_GB2312" w:hAnsi="楷体" w:eastAsia="仿宋_GB2312"/>
          <w:b w:val="0"/>
          <w:spacing w:val="-4"/>
          <w:sz w:val="28"/>
          <w:szCs w:val="28"/>
        </w:rPr>
        <w:t>。对比上年</w:t>
      </w:r>
      <w:r>
        <w:rPr>
          <w:rStyle w:val="18"/>
          <w:rFonts w:hint="eastAsia" w:ascii="仿宋_GB2312" w:hAnsi="楷体" w:eastAsia="仿宋_GB2312"/>
          <w:b w:val="0"/>
          <w:spacing w:val="-4"/>
          <w:sz w:val="28"/>
          <w:szCs w:val="28"/>
          <w:lang w:val="en-US" w:eastAsia="zh-CN"/>
        </w:rPr>
        <w:t>3812.28</w:t>
      </w:r>
      <w:r>
        <w:rPr>
          <w:rStyle w:val="18"/>
          <w:rFonts w:hint="eastAsia" w:ascii="仿宋_GB2312" w:hAnsi="楷体" w:eastAsia="仿宋_GB2312"/>
          <w:b w:val="0"/>
          <w:spacing w:val="-4"/>
          <w:sz w:val="28"/>
          <w:szCs w:val="28"/>
        </w:rPr>
        <w:t>万元</w:t>
      </w:r>
      <w:r>
        <w:rPr>
          <w:rStyle w:val="18"/>
          <w:rFonts w:hint="eastAsia" w:ascii="仿宋_GB2312" w:hAnsi="楷体" w:eastAsia="仿宋_GB2312"/>
          <w:b w:val="0"/>
          <w:spacing w:val="-4"/>
          <w:sz w:val="28"/>
          <w:szCs w:val="28"/>
          <w:lang w:eastAsia="zh-CN"/>
        </w:rPr>
        <w:t>，增加了</w:t>
      </w:r>
      <w:r>
        <w:rPr>
          <w:rStyle w:val="18"/>
          <w:rFonts w:hint="eastAsia" w:ascii="仿宋_GB2312" w:hAnsi="楷体" w:eastAsia="仿宋_GB2312"/>
          <w:b w:val="0"/>
          <w:spacing w:val="-4"/>
          <w:sz w:val="28"/>
          <w:szCs w:val="28"/>
          <w:lang w:val="en-US" w:eastAsia="zh-CN"/>
        </w:rPr>
        <w:t>353.26</w:t>
      </w:r>
      <w:r>
        <w:rPr>
          <w:rStyle w:val="18"/>
          <w:rFonts w:hint="eastAsia" w:ascii="仿宋_GB2312" w:hAnsi="楷体" w:eastAsia="仿宋_GB2312"/>
          <w:b w:val="0"/>
          <w:spacing w:val="-4"/>
          <w:sz w:val="28"/>
          <w:szCs w:val="28"/>
        </w:rPr>
        <w:t>万元，</w:t>
      </w:r>
      <w:r>
        <w:rPr>
          <w:rStyle w:val="18"/>
          <w:rFonts w:hint="eastAsia" w:ascii="仿宋_GB2312" w:hAnsi="楷体" w:eastAsia="仿宋_GB2312"/>
          <w:b w:val="0"/>
          <w:spacing w:val="-4"/>
          <w:sz w:val="28"/>
          <w:szCs w:val="28"/>
          <w:lang w:eastAsia="zh-CN"/>
        </w:rPr>
        <w:t>上升</w:t>
      </w:r>
      <w:r>
        <w:rPr>
          <w:rStyle w:val="18"/>
          <w:rFonts w:hint="eastAsia" w:ascii="仿宋_GB2312" w:hAnsi="楷体" w:eastAsia="仿宋_GB2312"/>
          <w:b w:val="0"/>
          <w:spacing w:val="-4"/>
          <w:sz w:val="28"/>
          <w:szCs w:val="28"/>
          <w:lang w:val="en-US" w:eastAsia="zh-CN"/>
        </w:rPr>
        <w:t>9.27</w:t>
      </w:r>
      <w:r>
        <w:rPr>
          <w:rStyle w:val="18"/>
          <w:rFonts w:hint="eastAsia" w:ascii="仿宋_GB2312" w:hAnsi="楷体" w:eastAsia="仿宋_GB2312"/>
          <w:b w:val="0"/>
          <w:spacing w:val="-4"/>
          <w:sz w:val="28"/>
          <w:szCs w:val="28"/>
        </w:rPr>
        <w:t>%。</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2021年实际决算支出</w:t>
      </w:r>
      <w:r>
        <w:rPr>
          <w:rStyle w:val="18"/>
          <w:rFonts w:hint="eastAsia" w:ascii="仿宋_GB2312" w:hAnsi="楷体" w:eastAsia="仿宋_GB2312"/>
          <w:b w:val="0"/>
          <w:spacing w:val="-4"/>
          <w:sz w:val="28"/>
          <w:szCs w:val="28"/>
          <w:lang w:val="en-US" w:eastAsia="zh-CN"/>
        </w:rPr>
        <w:t>4165.54</w:t>
      </w:r>
      <w:r>
        <w:rPr>
          <w:rStyle w:val="18"/>
          <w:rFonts w:hint="eastAsia" w:ascii="仿宋_GB2312" w:hAnsi="楷体" w:eastAsia="仿宋_GB2312"/>
          <w:b w:val="0"/>
          <w:spacing w:val="-4"/>
          <w:sz w:val="28"/>
          <w:szCs w:val="28"/>
        </w:rPr>
        <w:t>万元，执行率</w:t>
      </w:r>
      <w:r>
        <w:rPr>
          <w:rStyle w:val="18"/>
          <w:rFonts w:hint="eastAsia" w:ascii="仿宋_GB2312" w:hAnsi="楷体" w:eastAsia="仿宋_GB2312"/>
          <w:b w:val="0"/>
          <w:spacing w:val="-4"/>
          <w:sz w:val="28"/>
          <w:szCs w:val="28"/>
          <w:lang w:val="en-US" w:eastAsia="zh-CN"/>
        </w:rPr>
        <w:t>100</w:t>
      </w:r>
      <w:r>
        <w:rPr>
          <w:rStyle w:val="18"/>
          <w:rFonts w:hint="eastAsia" w:ascii="仿宋_GB2312" w:hAnsi="楷体" w:eastAsia="仿宋_GB2312"/>
          <w:b w:val="0"/>
          <w:spacing w:val="-4"/>
          <w:sz w:val="28"/>
          <w:szCs w:val="28"/>
        </w:rPr>
        <w:t>%，其中：</w:t>
      </w:r>
    </w:p>
    <w:p>
      <w:pPr>
        <w:numPr>
          <w:ilvl w:val="0"/>
          <w:numId w:val="2"/>
        </w:numPr>
        <w:spacing w:line="360" w:lineRule="auto"/>
        <w:ind w:left="86" w:leftChars="0" w:firstLine="544" w:firstLineChars="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基本支出</w:t>
      </w:r>
      <w:r>
        <w:rPr>
          <w:rStyle w:val="18"/>
          <w:rFonts w:hint="eastAsia" w:ascii="仿宋_GB2312" w:hAnsi="楷体" w:eastAsia="仿宋_GB2312"/>
          <w:b w:val="0"/>
          <w:spacing w:val="-4"/>
          <w:sz w:val="28"/>
          <w:szCs w:val="28"/>
          <w:lang w:val="en-US" w:eastAsia="zh-CN"/>
        </w:rPr>
        <w:t>2693.49</w:t>
      </w:r>
      <w:r>
        <w:rPr>
          <w:rStyle w:val="18"/>
          <w:rFonts w:hint="eastAsia" w:ascii="仿宋_GB2312" w:hAnsi="楷体" w:eastAsia="仿宋_GB2312"/>
          <w:b w:val="0"/>
          <w:spacing w:val="-4"/>
          <w:sz w:val="28"/>
          <w:szCs w:val="28"/>
        </w:rPr>
        <w:t>万元，占总支出的</w:t>
      </w:r>
      <w:r>
        <w:rPr>
          <w:rStyle w:val="18"/>
          <w:rFonts w:hint="eastAsia" w:ascii="仿宋_GB2312" w:hAnsi="楷体" w:eastAsia="仿宋_GB2312"/>
          <w:b w:val="0"/>
          <w:spacing w:val="-4"/>
          <w:sz w:val="28"/>
          <w:szCs w:val="28"/>
          <w:lang w:val="en-US" w:eastAsia="zh-CN"/>
        </w:rPr>
        <w:t>64.66</w:t>
      </w:r>
      <w:r>
        <w:rPr>
          <w:rStyle w:val="18"/>
          <w:rFonts w:hint="eastAsia" w:ascii="仿宋_GB2312" w:hAnsi="楷体" w:eastAsia="仿宋_GB2312"/>
          <w:b w:val="0"/>
          <w:spacing w:val="-4"/>
          <w:sz w:val="28"/>
          <w:szCs w:val="28"/>
        </w:rPr>
        <w:t>％，主要用于本</w:t>
      </w:r>
      <w:r>
        <w:rPr>
          <w:rStyle w:val="18"/>
          <w:rFonts w:hint="eastAsia" w:ascii="仿宋_GB2312" w:hAnsi="楷体" w:eastAsia="仿宋_GB2312"/>
          <w:b w:val="0"/>
          <w:color w:val="auto"/>
          <w:spacing w:val="-4"/>
          <w:sz w:val="28"/>
          <w:szCs w:val="28"/>
        </w:rPr>
        <w:t>单位机</w:t>
      </w:r>
      <w:r>
        <w:rPr>
          <w:rStyle w:val="18"/>
          <w:rFonts w:hint="eastAsia" w:ascii="仿宋_GB2312" w:hAnsi="楷体" w:eastAsia="仿宋_GB2312"/>
          <w:b w:val="0"/>
          <w:spacing w:val="-4"/>
          <w:sz w:val="28"/>
          <w:szCs w:val="28"/>
        </w:rPr>
        <w:t>构正常运转、完成日常工作任务而发生的各项支出。其中：工资福利支出</w:t>
      </w:r>
      <w:r>
        <w:rPr>
          <w:rStyle w:val="18"/>
          <w:rFonts w:hint="eastAsia" w:ascii="仿宋_GB2312" w:hAnsi="楷体" w:eastAsia="仿宋_GB2312"/>
          <w:b w:val="0"/>
          <w:spacing w:val="-4"/>
          <w:sz w:val="28"/>
          <w:szCs w:val="28"/>
          <w:lang w:val="en-US" w:eastAsia="zh-CN"/>
        </w:rPr>
        <w:t>1883.25</w:t>
      </w:r>
      <w:r>
        <w:rPr>
          <w:rStyle w:val="18"/>
          <w:rFonts w:hint="eastAsia" w:ascii="仿宋_GB2312" w:hAnsi="楷体" w:eastAsia="仿宋_GB2312"/>
          <w:b w:val="0"/>
          <w:spacing w:val="-4"/>
          <w:sz w:val="28"/>
          <w:szCs w:val="28"/>
        </w:rPr>
        <w:t>万元，主要用于在职和离退休人员基本工资、津贴补贴等人员经费。商品和服务支出</w:t>
      </w:r>
      <w:r>
        <w:rPr>
          <w:rStyle w:val="18"/>
          <w:rFonts w:hint="eastAsia" w:ascii="仿宋_GB2312" w:hAnsi="楷体" w:eastAsia="仿宋_GB2312"/>
          <w:b w:val="0"/>
          <w:spacing w:val="-4"/>
          <w:sz w:val="28"/>
          <w:szCs w:val="28"/>
          <w:lang w:val="en-US" w:eastAsia="zh-CN"/>
        </w:rPr>
        <w:t>326.96</w:t>
      </w:r>
      <w:r>
        <w:rPr>
          <w:rStyle w:val="18"/>
          <w:rFonts w:hint="eastAsia" w:ascii="仿宋_GB2312" w:hAnsi="楷体" w:eastAsia="仿宋_GB2312"/>
          <w:b w:val="0"/>
          <w:spacing w:val="-4"/>
          <w:sz w:val="28"/>
          <w:szCs w:val="28"/>
        </w:rPr>
        <w:t>万元，主要用于办公费、印刷费、水电费、办公设备购置等。对个人和家庭的补助</w:t>
      </w:r>
      <w:r>
        <w:rPr>
          <w:rStyle w:val="18"/>
          <w:rFonts w:hint="eastAsia" w:ascii="仿宋_GB2312" w:hAnsi="楷体" w:eastAsia="仿宋_GB2312"/>
          <w:b w:val="0"/>
          <w:spacing w:val="-4"/>
          <w:sz w:val="28"/>
          <w:szCs w:val="28"/>
          <w:lang w:val="en-US" w:eastAsia="zh-CN"/>
        </w:rPr>
        <w:t>483.28</w:t>
      </w:r>
      <w:r>
        <w:rPr>
          <w:rStyle w:val="18"/>
          <w:rFonts w:hint="eastAsia" w:ascii="仿宋_GB2312" w:hAnsi="楷体" w:eastAsia="仿宋_GB2312"/>
          <w:b w:val="0"/>
          <w:spacing w:val="-4"/>
          <w:sz w:val="28"/>
          <w:szCs w:val="28"/>
        </w:rPr>
        <w:t>万元，主要用于</w:t>
      </w:r>
      <w:r>
        <w:rPr>
          <w:rStyle w:val="18"/>
          <w:rFonts w:hint="eastAsia" w:ascii="仿宋_GB2312" w:hAnsi="楷体" w:eastAsia="仿宋_GB2312"/>
          <w:b w:val="0"/>
          <w:spacing w:val="-4"/>
          <w:sz w:val="28"/>
          <w:szCs w:val="28"/>
          <w:lang w:eastAsia="zh-CN"/>
        </w:rPr>
        <w:t>一次性抚恤金，</w:t>
      </w:r>
      <w:r>
        <w:rPr>
          <w:rStyle w:val="18"/>
          <w:rFonts w:hint="eastAsia" w:ascii="仿宋_GB2312" w:hAnsi="楷体" w:eastAsia="仿宋_GB2312"/>
          <w:b w:val="0"/>
          <w:spacing w:val="-4"/>
          <w:sz w:val="28"/>
          <w:szCs w:val="28"/>
          <w:lang w:val="en-US" w:eastAsia="zh-CN"/>
        </w:rPr>
        <w:t>双联户人员补助，疫情个体工商户补助等,退休人员取暖费</w:t>
      </w:r>
      <w:r>
        <w:rPr>
          <w:rStyle w:val="18"/>
          <w:rFonts w:hint="eastAsia" w:ascii="仿宋_GB2312" w:hAnsi="楷体" w:eastAsia="仿宋_GB2312"/>
          <w:b w:val="0"/>
          <w:spacing w:val="-4"/>
          <w:sz w:val="28"/>
          <w:szCs w:val="28"/>
        </w:rPr>
        <w:t>。资本性支出</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w:t>
      </w:r>
      <w:r>
        <w:rPr>
          <w:rStyle w:val="18"/>
          <w:rFonts w:hint="eastAsia" w:ascii="仿宋_GB2312" w:hAnsi="楷体" w:eastAsia="仿宋_GB2312"/>
          <w:b w:val="0"/>
          <w:spacing w:val="-4"/>
          <w:sz w:val="28"/>
          <w:szCs w:val="28"/>
          <w:lang w:eastAsia="zh-CN"/>
        </w:rPr>
        <w:t>。</w:t>
      </w:r>
    </w:p>
    <w:p>
      <w:pPr>
        <w:numPr>
          <w:ilvl w:val="0"/>
          <w:numId w:val="2"/>
        </w:numPr>
        <w:spacing w:line="360" w:lineRule="auto"/>
        <w:ind w:left="86" w:leftChars="0" w:firstLine="544" w:firstLineChars="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项目支出</w:t>
      </w:r>
      <w:r>
        <w:rPr>
          <w:rStyle w:val="18"/>
          <w:rFonts w:hint="eastAsia" w:ascii="仿宋_GB2312" w:hAnsi="楷体" w:eastAsia="仿宋_GB2312"/>
          <w:b w:val="0"/>
          <w:spacing w:val="-4"/>
          <w:sz w:val="28"/>
          <w:szCs w:val="28"/>
          <w:lang w:val="en-US" w:eastAsia="zh-CN"/>
        </w:rPr>
        <w:t>1472.05</w:t>
      </w:r>
      <w:r>
        <w:rPr>
          <w:rStyle w:val="18"/>
          <w:rFonts w:hint="eastAsia" w:ascii="仿宋_GB2312" w:hAnsi="楷体" w:eastAsia="仿宋_GB2312"/>
          <w:b w:val="0"/>
          <w:spacing w:val="-4"/>
          <w:sz w:val="28"/>
          <w:szCs w:val="28"/>
        </w:rPr>
        <w:t>万元，占总支出的</w:t>
      </w:r>
      <w:r>
        <w:rPr>
          <w:rStyle w:val="18"/>
          <w:rFonts w:hint="eastAsia" w:ascii="仿宋_GB2312" w:hAnsi="楷体" w:eastAsia="仿宋_GB2312"/>
          <w:b w:val="0"/>
          <w:spacing w:val="-4"/>
          <w:sz w:val="28"/>
          <w:szCs w:val="28"/>
          <w:lang w:val="en-US" w:eastAsia="zh-CN"/>
        </w:rPr>
        <w:t>35.34</w:t>
      </w:r>
      <w:r>
        <w:rPr>
          <w:rStyle w:val="18"/>
          <w:rFonts w:hint="eastAsia" w:ascii="仿宋_GB2312" w:hAnsi="楷体" w:eastAsia="仿宋_GB2312"/>
          <w:b w:val="0"/>
          <w:spacing w:val="-4"/>
          <w:sz w:val="28"/>
          <w:szCs w:val="28"/>
        </w:rPr>
        <w:t>％。其中：</w:t>
      </w:r>
      <w:r>
        <w:rPr>
          <w:rStyle w:val="18"/>
          <w:rFonts w:hint="eastAsia" w:ascii="仿宋_GB2312" w:hAnsi="楷体" w:eastAsia="仿宋_GB2312"/>
          <w:b w:val="0"/>
          <w:spacing w:val="-4"/>
          <w:sz w:val="28"/>
          <w:szCs w:val="28"/>
          <w:lang w:eastAsia="zh-CN"/>
        </w:rPr>
        <w:t>基层组织建设项目</w:t>
      </w:r>
      <w:r>
        <w:rPr>
          <w:rStyle w:val="18"/>
          <w:rFonts w:hint="eastAsia" w:ascii="仿宋_GB2312" w:hAnsi="楷体" w:eastAsia="仿宋_GB2312"/>
          <w:b w:val="0"/>
          <w:spacing w:val="-4"/>
          <w:sz w:val="28"/>
          <w:szCs w:val="28"/>
          <w:lang w:val="en-US" w:eastAsia="zh-CN"/>
        </w:rPr>
        <w:t>25</w:t>
      </w:r>
      <w:r>
        <w:rPr>
          <w:rStyle w:val="18"/>
          <w:rFonts w:hint="eastAsia" w:ascii="仿宋_GB2312" w:hAnsi="楷体" w:eastAsia="仿宋_GB2312"/>
          <w:b w:val="0"/>
          <w:spacing w:val="-4"/>
          <w:sz w:val="28"/>
          <w:szCs w:val="28"/>
        </w:rPr>
        <w:t>万元，主要用于</w:t>
      </w:r>
      <w:r>
        <w:rPr>
          <w:rStyle w:val="18"/>
          <w:rFonts w:hint="eastAsia" w:ascii="仿宋_GB2312" w:hAnsi="楷体" w:eastAsia="仿宋_GB2312"/>
          <w:b w:val="0"/>
          <w:spacing w:val="-4"/>
          <w:sz w:val="28"/>
          <w:szCs w:val="28"/>
          <w:lang w:eastAsia="zh-CN"/>
        </w:rPr>
        <w:t>阔克铁热乡齐巴尔特勒村</w:t>
      </w:r>
      <w:r>
        <w:rPr>
          <w:rStyle w:val="18"/>
          <w:rFonts w:hint="eastAsia" w:ascii="仿宋_GB2312" w:hAnsi="楷体" w:eastAsia="仿宋_GB2312"/>
          <w:b w:val="0"/>
          <w:spacing w:val="-4"/>
          <w:sz w:val="28"/>
          <w:szCs w:val="28"/>
          <w:lang w:val="en-US" w:eastAsia="zh-CN"/>
        </w:rPr>
        <w:t>基层组织建设</w:t>
      </w:r>
      <w:r>
        <w:rPr>
          <w:rStyle w:val="18"/>
          <w:rFonts w:hint="eastAsia" w:ascii="仿宋_GB2312" w:hAnsi="楷体" w:eastAsia="仿宋_GB2312"/>
          <w:b w:val="0"/>
          <w:spacing w:val="-4"/>
          <w:sz w:val="28"/>
          <w:szCs w:val="28"/>
        </w:rPr>
        <w:t>完成</w:t>
      </w:r>
      <w:r>
        <w:rPr>
          <w:rStyle w:val="18"/>
          <w:rFonts w:ascii="仿宋_GB2312" w:hAnsi="楷体" w:eastAsia="仿宋_GB2312"/>
          <w:b w:val="0"/>
          <w:spacing w:val="-4"/>
          <w:sz w:val="28"/>
          <w:szCs w:val="28"/>
        </w:rPr>
        <w:t xml:space="preserve"> </w:t>
      </w:r>
      <w:r>
        <w:rPr>
          <w:rStyle w:val="18"/>
          <w:rFonts w:hint="eastAsia" w:ascii="仿宋_GB2312" w:hAnsi="楷体" w:eastAsia="仿宋_GB2312"/>
          <w:b w:val="0"/>
          <w:spacing w:val="-4"/>
          <w:sz w:val="28"/>
          <w:szCs w:val="28"/>
        </w:rPr>
        <w:t>，特克斯县阔克铁热克乡玛热勒塔斯村、霍斯托别村、平安村农村人居环境整治建设项目项目安排</w:t>
      </w:r>
      <w:r>
        <w:rPr>
          <w:rStyle w:val="18"/>
          <w:rFonts w:hint="eastAsia" w:ascii="仿宋_GB2312" w:hAnsi="楷体" w:eastAsia="仿宋_GB2312"/>
          <w:b w:val="0"/>
          <w:spacing w:val="-4"/>
          <w:sz w:val="28"/>
          <w:szCs w:val="28"/>
          <w:lang w:val="en-US" w:eastAsia="zh-CN"/>
        </w:rPr>
        <w:t>500</w:t>
      </w:r>
      <w:r>
        <w:rPr>
          <w:rStyle w:val="18"/>
          <w:rFonts w:hint="eastAsia" w:ascii="仿宋_GB2312" w:hAnsi="楷体" w:eastAsia="仿宋_GB2312"/>
          <w:b w:val="0"/>
          <w:spacing w:val="-4"/>
          <w:sz w:val="28"/>
          <w:szCs w:val="28"/>
        </w:rPr>
        <w:t>万元，主要用于完成</w:t>
      </w:r>
      <w:r>
        <w:rPr>
          <w:rStyle w:val="18"/>
          <w:rFonts w:hint="eastAsia" w:ascii="仿宋_GB2312" w:hAnsi="楷体" w:eastAsia="仿宋_GB2312"/>
          <w:b w:val="0"/>
          <w:spacing w:val="-4"/>
          <w:sz w:val="28"/>
          <w:szCs w:val="28"/>
          <w:lang w:val="en-US" w:eastAsia="zh-CN"/>
        </w:rPr>
        <w:t>三个村人居环境整治建设</w:t>
      </w:r>
      <w:r>
        <w:rPr>
          <w:rStyle w:val="18"/>
          <w:rFonts w:hint="eastAsia" w:ascii="仿宋_GB2312" w:hAnsi="楷体" w:eastAsia="仿宋_GB2312"/>
          <w:b w:val="0"/>
          <w:spacing w:val="-4"/>
          <w:sz w:val="28"/>
          <w:szCs w:val="28"/>
          <w:lang w:eastAsia="zh-CN"/>
        </w:rPr>
        <w:t>，阔克铁热克乡阔克铁热克村安全饮水提升改造工程</w:t>
      </w:r>
      <w:r>
        <w:rPr>
          <w:rStyle w:val="18"/>
          <w:rFonts w:hint="eastAsia" w:ascii="仿宋_GB2312" w:hAnsi="楷体" w:eastAsia="仿宋_GB2312"/>
          <w:b w:val="0"/>
          <w:spacing w:val="-4"/>
          <w:sz w:val="28"/>
          <w:szCs w:val="28"/>
          <w:lang w:val="en-US" w:eastAsia="zh-CN"/>
        </w:rPr>
        <w:t>11.88万元，主要用于阔克铁热克村安全饮水设施，阔克铁热克乡阔克铁热克村农贸市场建设项目895.17万元，主要用于阔克铁热克村农贸市场建设，阔克铁热克乡萨尔阔布村一事一议项目15万元，主要用于萨尔阔布村河道清淤，阔克铁热克乡霍斯托别村基础设施建设及村庄美化绿化项目15万元，主要用于霍斯托别村绿化建设，体育器材10万元，主要用于购买健身器材</w:t>
      </w:r>
      <w:r>
        <w:rPr>
          <w:rStyle w:val="18"/>
          <w:rFonts w:hint="eastAsia" w:ascii="仿宋_GB2312" w:hAnsi="楷体" w:eastAsia="仿宋_GB2312"/>
          <w:b w:val="0"/>
          <w:spacing w:val="-4"/>
          <w:sz w:val="28"/>
          <w:szCs w:val="28"/>
        </w:rPr>
        <w:t>。</w:t>
      </w:r>
    </w:p>
    <w:p>
      <w:pPr>
        <w:numPr>
          <w:ilvl w:val="0"/>
          <w:numId w:val="2"/>
        </w:numPr>
        <w:spacing w:line="360" w:lineRule="auto"/>
        <w:ind w:left="86" w:leftChars="0" w:firstLine="544" w:firstLineChars="0"/>
        <w:rPr>
          <w:rStyle w:val="18"/>
          <w:rFonts w:hint="eastAsia"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本年度重点项目支出</w:t>
      </w:r>
      <w:r>
        <w:rPr>
          <w:rStyle w:val="18"/>
          <w:rFonts w:hint="eastAsia" w:ascii="仿宋_GB2312" w:hAnsi="楷体" w:eastAsia="仿宋_GB2312"/>
          <w:b w:val="0"/>
          <w:spacing w:val="-4"/>
          <w:sz w:val="28"/>
          <w:szCs w:val="28"/>
          <w:highlight w:val="none"/>
          <w:lang w:val="en-US" w:eastAsia="zh-CN"/>
        </w:rPr>
        <w:t>895.17</w:t>
      </w:r>
      <w:r>
        <w:rPr>
          <w:rStyle w:val="18"/>
          <w:rFonts w:hint="eastAsia" w:ascii="仿宋_GB2312" w:hAnsi="楷体" w:eastAsia="仿宋_GB2312"/>
          <w:b w:val="0"/>
          <w:spacing w:val="-4"/>
          <w:sz w:val="28"/>
          <w:szCs w:val="28"/>
          <w:highlight w:val="none"/>
        </w:rPr>
        <w:t>万元，重点支出保障率</w:t>
      </w:r>
      <w:r>
        <w:rPr>
          <w:rStyle w:val="18"/>
          <w:rFonts w:hint="eastAsia" w:ascii="仿宋_GB2312" w:hAnsi="楷体" w:eastAsia="仿宋_GB2312"/>
          <w:b w:val="0"/>
          <w:spacing w:val="-4"/>
          <w:sz w:val="28"/>
          <w:szCs w:val="28"/>
          <w:highlight w:val="none"/>
          <w:lang w:val="en-US" w:eastAsia="zh-CN"/>
        </w:rPr>
        <w:t>100</w:t>
      </w:r>
      <w:r>
        <w:rPr>
          <w:rStyle w:val="18"/>
          <w:rFonts w:hint="eastAsia" w:ascii="仿宋_GB2312" w:hAnsi="楷体" w:eastAsia="仿宋_GB2312"/>
          <w:b w:val="0"/>
          <w:spacing w:val="-4"/>
          <w:sz w:val="28"/>
          <w:szCs w:val="28"/>
          <w:highlight w:val="none"/>
        </w:rPr>
        <w:t>%。其中重点保障项目是</w:t>
      </w:r>
      <w:r>
        <w:rPr>
          <w:rStyle w:val="18"/>
          <w:rFonts w:hint="eastAsia" w:ascii="仿宋_GB2312" w:hAnsi="楷体" w:eastAsia="仿宋_GB2312"/>
          <w:b w:val="0"/>
          <w:spacing w:val="-4"/>
          <w:sz w:val="28"/>
          <w:szCs w:val="28"/>
          <w:highlight w:val="none"/>
          <w:lang w:val="en-US" w:eastAsia="zh-CN"/>
        </w:rPr>
        <w:t>阔克铁热克乡阔克铁热克村农贸市场建设项目895.17万元</w:t>
      </w:r>
      <w:r>
        <w:rPr>
          <w:rStyle w:val="18"/>
          <w:rFonts w:hint="eastAsia" w:ascii="仿宋_GB2312" w:hAnsi="楷体" w:eastAsia="仿宋_GB2312"/>
          <w:b w:val="0"/>
          <w:spacing w:val="-4"/>
          <w:sz w:val="28"/>
          <w:szCs w:val="28"/>
          <w:highlight w:val="none"/>
        </w:rPr>
        <w:t>。</w:t>
      </w:r>
    </w:p>
    <w:p>
      <w:pPr>
        <w:numPr>
          <w:ilvl w:val="0"/>
          <w:numId w:val="2"/>
        </w:numPr>
        <w:spacing w:line="360" w:lineRule="auto"/>
        <w:ind w:left="86" w:leftChars="0" w:firstLine="544" w:firstLineChars="0"/>
        <w:rPr>
          <w:rStyle w:val="18"/>
          <w:rFonts w:ascii="仿宋_GB2312" w:hAnsi="楷体" w:eastAsia="仿宋_GB2312"/>
          <w:b w:val="0"/>
          <w:spacing w:val="-4"/>
          <w:sz w:val="32"/>
          <w:szCs w:val="32"/>
        </w:rPr>
      </w:pPr>
      <w:r>
        <w:rPr>
          <w:rStyle w:val="18"/>
          <w:rFonts w:hint="eastAsia" w:ascii="仿宋_GB2312" w:hAnsi="楷体" w:eastAsia="仿宋_GB2312" w:cs="Times New Roman"/>
          <w:b w:val="0"/>
          <w:spacing w:val="-4"/>
          <w:sz w:val="28"/>
          <w:szCs w:val="28"/>
          <w:lang w:val="en-US" w:eastAsia="zh-CN"/>
        </w:rPr>
        <w:t>本年度我单位无政府采购预算</w:t>
      </w:r>
      <w:r>
        <w:rPr>
          <w:rStyle w:val="18"/>
          <w:rFonts w:hint="eastAsia" w:ascii="仿宋_GB2312" w:hAnsi="楷体" w:eastAsia="仿宋_GB2312"/>
          <w:b w:val="0"/>
          <w:spacing w:val="-4"/>
          <w:sz w:val="28"/>
          <w:szCs w:val="28"/>
          <w:lang w:eastAsia="zh-CN"/>
        </w:rPr>
        <w:t>。</w:t>
      </w:r>
    </w:p>
    <w:p>
      <w:pPr>
        <w:pStyle w:val="7"/>
        <w:spacing w:line="360" w:lineRule="auto"/>
        <w:ind w:firstLine="562" w:firstLineChars="200"/>
        <w:rPr>
          <w:rStyle w:val="18"/>
          <w:rFonts w:ascii="仿宋" w:hAnsi="仿宋" w:eastAsia="仿宋"/>
          <w:b/>
          <w:bCs/>
        </w:rPr>
      </w:pPr>
      <w:bookmarkStart w:id="9" w:name="_Toc70450296"/>
      <w:r>
        <w:rPr>
          <w:rStyle w:val="18"/>
          <w:rFonts w:ascii="仿宋" w:hAnsi="仿宋" w:eastAsia="仿宋"/>
          <w:b/>
          <w:bCs/>
        </w:rPr>
        <w:t>2</w:t>
      </w:r>
      <w:r>
        <w:rPr>
          <w:rStyle w:val="18"/>
          <w:rFonts w:hint="eastAsia" w:ascii="仿宋" w:hAnsi="仿宋" w:eastAsia="仿宋"/>
          <w:b/>
          <w:bCs/>
        </w:rPr>
        <w:t>、整体支出评价使用方法和主要内容、涉及对象及范围等</w:t>
      </w:r>
      <w:bookmarkEnd w:id="9"/>
    </w:p>
    <w:p>
      <w:pPr>
        <w:spacing w:line="360" w:lineRule="auto"/>
        <w:ind w:firstLine="560" w:firstLineChars="200"/>
        <w:rPr>
          <w:rStyle w:val="18"/>
          <w:rFonts w:ascii="仿宋_GB2312" w:eastAsia="仿宋_GB2312"/>
          <w:b w:val="0"/>
          <w:bCs w:val="0"/>
          <w:sz w:val="28"/>
          <w:szCs w:val="36"/>
        </w:rPr>
      </w:pPr>
      <w:r>
        <w:rPr>
          <w:rFonts w:hint="eastAsia" w:ascii="仿宋_GB2312" w:eastAsia="仿宋_GB2312"/>
          <w:sz w:val="28"/>
          <w:szCs w:val="36"/>
        </w:rPr>
        <w:t>（1）</w:t>
      </w:r>
      <w:r>
        <w:rPr>
          <w:rStyle w:val="18"/>
          <w:rFonts w:hint="eastAsia" w:ascii="仿宋_GB2312" w:eastAsia="仿宋_GB2312"/>
          <w:b w:val="0"/>
          <w:bCs w:val="0"/>
          <w:sz w:val="28"/>
          <w:szCs w:val="36"/>
        </w:rPr>
        <w:t>整体支出评价使用方法</w:t>
      </w:r>
    </w:p>
    <w:p>
      <w:pPr>
        <w:spacing w:line="360" w:lineRule="auto"/>
        <w:ind w:firstLine="560" w:firstLineChars="200"/>
        <w:rPr>
          <w:rFonts w:hint="eastAsia" w:eastAsia="仿宋_GB2312"/>
          <w:color w:val="auto"/>
          <w:highlight w:val="none"/>
          <w:lang w:val="en-US" w:eastAsia="zh-CN"/>
        </w:rPr>
      </w:pPr>
      <w:r>
        <w:rPr>
          <w:rStyle w:val="18"/>
          <w:rFonts w:hint="eastAsia" w:ascii="仿宋_GB2312" w:eastAsia="仿宋_GB2312"/>
          <w:b w:val="0"/>
          <w:bCs w:val="0"/>
          <w:color w:val="auto"/>
          <w:sz w:val="28"/>
          <w:szCs w:val="36"/>
          <w:highlight w:val="none"/>
        </w:rPr>
        <w:t>本次单位整体支出绩效自评采用</w:t>
      </w:r>
      <w:r>
        <w:rPr>
          <w:rStyle w:val="18"/>
          <w:rFonts w:hint="eastAsia" w:ascii="仿宋_GB2312" w:hAnsi="Times New Roman" w:eastAsia="仿宋_GB2312" w:cs="Times New Roman"/>
          <w:b w:val="0"/>
          <w:bCs w:val="0"/>
          <w:color w:val="auto"/>
          <w:sz w:val="28"/>
          <w:szCs w:val="36"/>
          <w:highlight w:val="none"/>
        </w:rPr>
        <w:t>综合指数评价法</w:t>
      </w:r>
      <w:r>
        <w:rPr>
          <w:rStyle w:val="18"/>
          <w:rFonts w:hint="eastAsia" w:ascii="仿宋_GB2312" w:eastAsia="仿宋_GB2312"/>
          <w:b w:val="0"/>
          <w:bCs w:val="0"/>
          <w:color w:val="auto"/>
          <w:sz w:val="28"/>
          <w:szCs w:val="36"/>
          <w:highlight w:val="none"/>
        </w:rPr>
        <w:t>方法，原因是：</w:t>
      </w:r>
      <w:r>
        <w:rPr>
          <w:rStyle w:val="18"/>
          <w:rFonts w:hint="eastAsia" w:ascii="仿宋_GB2312" w:hAnsi="Times New Roman" w:eastAsia="仿宋_GB2312" w:cs="Times New Roman"/>
          <w:b w:val="0"/>
          <w:bCs w:val="0"/>
          <w:color w:val="auto"/>
          <w:sz w:val="28"/>
          <w:szCs w:val="36"/>
          <w:highlight w:val="none"/>
        </w:rPr>
        <w:t>是指把各项绩效指标的实际水平，对照评价标准值，分别计算各项指标评价得分，再按照设定的各项指标权数计算出综合评价得分，分析评价绩效目标实现情况的评价方法</w:t>
      </w:r>
      <w:r>
        <w:rPr>
          <w:rStyle w:val="18"/>
          <w:rFonts w:hint="eastAsia" w:ascii="仿宋_GB2312" w:hAnsi="Times New Roman" w:eastAsia="仿宋_GB2312" w:cs="Times New Roman"/>
          <w:b w:val="0"/>
          <w:bCs w:val="0"/>
          <w:color w:val="auto"/>
          <w:sz w:val="28"/>
          <w:szCs w:val="36"/>
          <w:highlight w:val="none"/>
          <w:lang w:eastAsia="zh-CN"/>
        </w:rPr>
        <w:t>。</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8"/>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（3）整体支出评价涉及对象及范围</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特克斯县阔克铁热克乡人民政府</w:t>
      </w:r>
      <w:r>
        <w:rPr>
          <w:rFonts w:hint="eastAsia" w:ascii="仿宋_GB2312" w:eastAsia="仿宋_GB2312"/>
          <w:sz w:val="28"/>
          <w:szCs w:val="36"/>
        </w:rPr>
        <w:t>所有财政资金支出活动。</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整体支出评价范围：</w:t>
      </w:r>
    </w:p>
    <w:p>
      <w:pPr>
        <w:spacing w:line="360" w:lineRule="auto"/>
        <w:ind w:firstLine="544" w:firstLineChars="200"/>
        <w:rPr>
          <w:rStyle w:val="18"/>
          <w:rFonts w:hint="eastAsia" w:ascii="仿宋_GB2312" w:hAnsi="楷体" w:eastAsia="仿宋_GB2312"/>
          <w:b w:val="0"/>
          <w:spacing w:val="-4"/>
          <w:sz w:val="28"/>
          <w:szCs w:val="28"/>
          <w:lang w:eastAsia="zh-CN"/>
        </w:rPr>
      </w:pPr>
      <w:r>
        <w:rPr>
          <w:rStyle w:val="18"/>
          <w:rFonts w:ascii="仿宋_GB2312" w:hAnsi="楷体" w:eastAsia="仿宋_GB2312"/>
          <w:b w:val="0"/>
          <w:spacing w:val="-4"/>
          <w:sz w:val="28"/>
          <w:szCs w:val="28"/>
        </w:rPr>
        <w:fldChar w:fldCharType="begin"/>
      </w:r>
      <w:r>
        <w:rPr>
          <w:rStyle w:val="18"/>
          <w:rFonts w:ascii="仿宋_GB2312" w:hAnsi="楷体" w:eastAsia="仿宋_GB2312"/>
          <w:b w:val="0"/>
          <w:spacing w:val="-4"/>
          <w:sz w:val="28"/>
          <w:szCs w:val="28"/>
        </w:rPr>
        <w:instrText xml:space="preserve"> </w:instrText>
      </w:r>
      <w:r>
        <w:rPr>
          <w:rStyle w:val="18"/>
          <w:rFonts w:hint="eastAsia" w:ascii="仿宋_GB2312" w:hAnsi="楷体" w:eastAsia="仿宋_GB2312"/>
          <w:b w:val="0"/>
          <w:spacing w:val="-4"/>
          <w:sz w:val="28"/>
          <w:szCs w:val="28"/>
        </w:rPr>
        <w:instrText xml:space="preserve">= 1 \* GB3</w:instrText>
      </w:r>
      <w:r>
        <w:rPr>
          <w:rStyle w:val="18"/>
          <w:rFonts w:ascii="仿宋_GB2312" w:hAnsi="楷体" w:eastAsia="仿宋_GB2312"/>
          <w:b w:val="0"/>
          <w:spacing w:val="-4"/>
          <w:sz w:val="28"/>
          <w:szCs w:val="28"/>
        </w:rPr>
        <w:instrText xml:space="preserve"> </w:instrText>
      </w:r>
      <w:r>
        <w:rPr>
          <w:rStyle w:val="18"/>
          <w:rFonts w:ascii="仿宋_GB2312" w:hAnsi="楷体" w:eastAsia="仿宋_GB2312"/>
          <w:b w:val="0"/>
          <w:spacing w:val="-4"/>
          <w:sz w:val="28"/>
          <w:szCs w:val="28"/>
        </w:rPr>
        <w:fldChar w:fldCharType="separate"/>
      </w:r>
      <w:r>
        <w:rPr>
          <w:rStyle w:val="18"/>
          <w:rFonts w:hint="eastAsia" w:ascii="仿宋_GB2312" w:hAnsi="楷体" w:eastAsia="仿宋_GB2312"/>
          <w:b w:val="0"/>
          <w:spacing w:val="-4"/>
          <w:sz w:val="28"/>
          <w:szCs w:val="28"/>
        </w:rPr>
        <w:t>①</w:t>
      </w:r>
      <w:r>
        <w:rPr>
          <w:rStyle w:val="18"/>
          <w:rFonts w:ascii="仿宋_GB2312" w:hAnsi="楷体" w:eastAsia="仿宋_GB2312"/>
          <w:b w:val="0"/>
          <w:spacing w:val="-4"/>
          <w:sz w:val="28"/>
          <w:szCs w:val="28"/>
        </w:rPr>
        <w:fldChar w:fldCharType="end"/>
      </w:r>
      <w:r>
        <w:rPr>
          <w:rStyle w:val="18"/>
          <w:rFonts w:hint="eastAsia" w:ascii="仿宋_GB2312" w:hAnsi="楷体" w:eastAsia="仿宋_GB2312"/>
          <w:b w:val="0"/>
          <w:spacing w:val="-4"/>
          <w:sz w:val="28"/>
          <w:szCs w:val="28"/>
        </w:rPr>
        <w:t>基本支出</w:t>
      </w:r>
      <w:r>
        <w:rPr>
          <w:rStyle w:val="18"/>
          <w:rFonts w:hint="eastAsia" w:ascii="仿宋_GB2312" w:hAnsi="楷体" w:eastAsia="仿宋_GB2312"/>
          <w:b w:val="0"/>
          <w:spacing w:val="-4"/>
          <w:sz w:val="28"/>
          <w:szCs w:val="28"/>
          <w:lang w:val="en-US" w:eastAsia="zh-CN"/>
        </w:rPr>
        <w:t>2693.49</w:t>
      </w:r>
      <w:r>
        <w:rPr>
          <w:rStyle w:val="18"/>
          <w:rFonts w:hint="eastAsia" w:ascii="仿宋_GB2312" w:hAnsi="楷体" w:eastAsia="仿宋_GB2312"/>
          <w:b w:val="0"/>
          <w:spacing w:val="-4"/>
          <w:sz w:val="28"/>
          <w:szCs w:val="28"/>
        </w:rPr>
        <w:t>万元，其中：工资福利支出、商品和服务支出、对个人和家庭的补助支出</w:t>
      </w:r>
      <w:r>
        <w:rPr>
          <w:rStyle w:val="18"/>
          <w:rFonts w:hint="eastAsia" w:ascii="仿宋_GB2312" w:hAnsi="楷体" w:eastAsia="仿宋_GB2312"/>
          <w:b w:val="0"/>
          <w:spacing w:val="-4"/>
          <w:sz w:val="28"/>
          <w:szCs w:val="28"/>
          <w:lang w:eastAsia="zh-CN"/>
        </w:rPr>
        <w:t>。</w:t>
      </w:r>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fldChar w:fldCharType="begin"/>
      </w:r>
      <w:r>
        <w:rPr>
          <w:rStyle w:val="18"/>
          <w:rFonts w:ascii="仿宋_GB2312" w:hAnsi="楷体" w:eastAsia="仿宋_GB2312"/>
          <w:b w:val="0"/>
          <w:spacing w:val="-4"/>
          <w:sz w:val="28"/>
          <w:szCs w:val="28"/>
        </w:rPr>
        <w:instrText xml:space="preserve"> </w:instrText>
      </w:r>
      <w:r>
        <w:rPr>
          <w:rStyle w:val="18"/>
          <w:rFonts w:hint="eastAsia" w:ascii="仿宋_GB2312" w:hAnsi="楷体" w:eastAsia="仿宋_GB2312"/>
          <w:b w:val="0"/>
          <w:spacing w:val="-4"/>
          <w:sz w:val="28"/>
          <w:szCs w:val="28"/>
        </w:rPr>
        <w:instrText xml:space="preserve">= 2 \* GB3</w:instrText>
      </w:r>
      <w:r>
        <w:rPr>
          <w:rStyle w:val="18"/>
          <w:rFonts w:ascii="仿宋_GB2312" w:hAnsi="楷体" w:eastAsia="仿宋_GB2312"/>
          <w:b w:val="0"/>
          <w:spacing w:val="-4"/>
          <w:sz w:val="28"/>
          <w:szCs w:val="28"/>
        </w:rPr>
        <w:instrText xml:space="preserve"> </w:instrText>
      </w:r>
      <w:r>
        <w:rPr>
          <w:rStyle w:val="18"/>
          <w:rFonts w:ascii="仿宋_GB2312" w:hAnsi="楷体" w:eastAsia="仿宋_GB2312"/>
          <w:b w:val="0"/>
          <w:spacing w:val="-4"/>
          <w:sz w:val="28"/>
          <w:szCs w:val="28"/>
        </w:rPr>
        <w:fldChar w:fldCharType="separate"/>
      </w:r>
      <w:r>
        <w:rPr>
          <w:rStyle w:val="18"/>
          <w:rFonts w:hint="eastAsia" w:ascii="仿宋_GB2312" w:hAnsi="楷体" w:eastAsia="仿宋_GB2312"/>
          <w:b w:val="0"/>
          <w:spacing w:val="-4"/>
          <w:sz w:val="28"/>
          <w:szCs w:val="28"/>
        </w:rPr>
        <w:t>②</w:t>
      </w:r>
      <w:r>
        <w:rPr>
          <w:rStyle w:val="18"/>
          <w:rFonts w:ascii="仿宋_GB2312" w:hAnsi="楷体" w:eastAsia="仿宋_GB2312"/>
          <w:b w:val="0"/>
          <w:spacing w:val="-4"/>
          <w:sz w:val="28"/>
          <w:szCs w:val="28"/>
        </w:rPr>
        <w:fldChar w:fldCharType="end"/>
      </w:r>
      <w:r>
        <w:rPr>
          <w:rStyle w:val="18"/>
          <w:rFonts w:hint="eastAsia" w:ascii="仿宋_GB2312" w:hAnsi="楷体" w:eastAsia="仿宋_GB2312"/>
          <w:b w:val="0"/>
          <w:spacing w:val="-4"/>
          <w:sz w:val="28"/>
          <w:szCs w:val="28"/>
        </w:rPr>
        <w:t>项目支出</w:t>
      </w:r>
      <w:r>
        <w:rPr>
          <w:rStyle w:val="18"/>
          <w:rFonts w:hint="eastAsia" w:ascii="仿宋_GB2312" w:hAnsi="楷体" w:eastAsia="仿宋_GB2312"/>
          <w:b w:val="0"/>
          <w:spacing w:val="-4"/>
          <w:sz w:val="28"/>
          <w:szCs w:val="28"/>
          <w:lang w:val="en-US" w:eastAsia="zh-CN"/>
        </w:rPr>
        <w:t>1472.05</w:t>
      </w:r>
      <w:r>
        <w:rPr>
          <w:rStyle w:val="18"/>
          <w:rFonts w:hint="eastAsia" w:ascii="仿宋_GB2312" w:hAnsi="楷体" w:eastAsia="仿宋_GB2312"/>
          <w:b w:val="0"/>
          <w:spacing w:val="-4"/>
          <w:sz w:val="28"/>
          <w:szCs w:val="28"/>
        </w:rPr>
        <w:t>万元</w:t>
      </w:r>
      <w:r>
        <w:rPr>
          <w:rStyle w:val="18"/>
          <w:rFonts w:hint="eastAsia" w:ascii="仿宋_GB2312" w:hAnsi="楷体" w:eastAsia="仿宋_GB2312"/>
          <w:b w:val="0"/>
          <w:bCs/>
          <w:color w:val="auto"/>
          <w:spacing w:val="-4"/>
          <w:sz w:val="28"/>
          <w:szCs w:val="28"/>
        </w:rPr>
        <w:t>：</w:t>
      </w:r>
      <w:r>
        <w:rPr>
          <w:rStyle w:val="18"/>
          <w:rFonts w:hint="eastAsia" w:asciiTheme="minorEastAsia" w:hAnsiTheme="minorEastAsia"/>
          <w:b w:val="0"/>
          <w:bCs/>
          <w:color w:val="auto"/>
          <w:spacing w:val="-4"/>
          <w:sz w:val="28"/>
          <w:szCs w:val="28"/>
          <w:lang w:val="en-US" w:eastAsia="zh-CN"/>
        </w:rPr>
        <w:t>1.</w:t>
      </w:r>
      <w:r>
        <w:rPr>
          <w:rStyle w:val="18"/>
          <w:rFonts w:hint="eastAsia" w:ascii="仿宋_GB2312" w:hAnsi="楷体" w:eastAsia="仿宋_GB2312"/>
          <w:b w:val="0"/>
          <w:color w:val="auto"/>
          <w:spacing w:val="-4"/>
          <w:sz w:val="28"/>
          <w:szCs w:val="28"/>
          <w:lang w:eastAsia="zh-CN"/>
        </w:rPr>
        <w:t>基层</w:t>
      </w:r>
      <w:r>
        <w:rPr>
          <w:rStyle w:val="18"/>
          <w:rFonts w:hint="eastAsia" w:ascii="仿宋_GB2312" w:hAnsi="楷体" w:eastAsia="仿宋_GB2312"/>
          <w:b w:val="0"/>
          <w:spacing w:val="-4"/>
          <w:sz w:val="28"/>
          <w:szCs w:val="28"/>
          <w:lang w:eastAsia="zh-CN"/>
        </w:rPr>
        <w:t>组织建设项目</w:t>
      </w:r>
      <w:r>
        <w:rPr>
          <w:rStyle w:val="18"/>
          <w:rFonts w:hint="eastAsia" w:ascii="仿宋_GB2312" w:hAnsi="楷体" w:eastAsia="仿宋_GB2312"/>
          <w:b w:val="0"/>
          <w:spacing w:val="-4"/>
          <w:sz w:val="28"/>
          <w:szCs w:val="28"/>
          <w:lang w:val="en-US" w:eastAsia="zh-CN"/>
        </w:rPr>
        <w:t>2.</w:t>
      </w:r>
      <w:r>
        <w:rPr>
          <w:rStyle w:val="18"/>
          <w:rFonts w:hint="eastAsia" w:ascii="仿宋_GB2312" w:hAnsi="楷体" w:eastAsia="仿宋_GB2312"/>
          <w:b w:val="0"/>
          <w:spacing w:val="-4"/>
          <w:sz w:val="28"/>
          <w:szCs w:val="28"/>
        </w:rPr>
        <w:t>特克斯县阔克铁热克乡玛热勒塔斯村、霍斯托别村、平安村农村人居环境整治建设项目</w:t>
      </w:r>
      <w:r>
        <w:rPr>
          <w:rStyle w:val="18"/>
          <w:rFonts w:hint="eastAsia" w:ascii="仿宋_GB2312" w:hAnsi="楷体" w:eastAsia="仿宋_GB2312"/>
          <w:b w:val="0"/>
          <w:spacing w:val="-4"/>
          <w:sz w:val="28"/>
          <w:szCs w:val="28"/>
          <w:lang w:val="en-US" w:eastAsia="zh-CN"/>
        </w:rPr>
        <w:t>3.</w:t>
      </w:r>
      <w:r>
        <w:rPr>
          <w:rStyle w:val="18"/>
          <w:rFonts w:hint="eastAsia" w:ascii="仿宋_GB2312" w:hAnsi="楷体" w:eastAsia="仿宋_GB2312"/>
          <w:b w:val="0"/>
          <w:spacing w:val="-4"/>
          <w:sz w:val="28"/>
          <w:szCs w:val="28"/>
          <w:lang w:eastAsia="zh-CN"/>
        </w:rPr>
        <w:t>阔克铁热克乡阔克铁热克村安全饮水提升改造工程</w:t>
      </w:r>
      <w:r>
        <w:rPr>
          <w:rStyle w:val="18"/>
          <w:rFonts w:hint="eastAsia" w:ascii="仿宋_GB2312" w:hAnsi="楷体" w:eastAsia="仿宋_GB2312"/>
          <w:b w:val="0"/>
          <w:spacing w:val="-4"/>
          <w:sz w:val="28"/>
          <w:szCs w:val="28"/>
          <w:lang w:val="en-US" w:eastAsia="zh-CN"/>
        </w:rPr>
        <w:t>4.阔克铁热克乡阔克铁热克村农贸市场建设项目5.阔克铁热克乡萨尔阔布村一事一议项目6.阔克铁热克乡霍斯托别村基础设施建设及村庄美化绿化项目7.体育器材项目。</w:t>
      </w:r>
    </w:p>
    <w:p>
      <w:pPr>
        <w:pStyle w:val="5"/>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6"/>
        <w:spacing w:line="360" w:lineRule="auto"/>
        <w:rPr>
          <w:rStyle w:val="18"/>
          <w:rFonts w:ascii="仿宋" w:hAnsi="仿宋" w:eastAsia="仿宋"/>
          <w:b/>
          <w:bCs/>
        </w:rPr>
      </w:pPr>
      <w:bookmarkStart w:id="11" w:name="_Toc70450298"/>
      <w:r>
        <w:rPr>
          <w:rStyle w:val="18"/>
          <w:rFonts w:hint="eastAsia" w:ascii="仿宋" w:hAnsi="仿宋" w:eastAsia="仿宋"/>
          <w:b/>
          <w:bCs/>
        </w:rPr>
        <w:t>（一）预算管理</w:t>
      </w:r>
      <w:bookmarkEnd w:id="11"/>
    </w:p>
    <w:p>
      <w:pPr>
        <w:pStyle w:val="7"/>
        <w:spacing w:line="360" w:lineRule="auto"/>
        <w:ind w:firstLine="562" w:firstLineChars="200"/>
        <w:rPr>
          <w:rStyle w:val="18"/>
          <w:rFonts w:ascii="仿宋" w:hAnsi="仿宋" w:eastAsia="仿宋"/>
          <w:b/>
          <w:bCs/>
        </w:rPr>
      </w:pPr>
      <w:bookmarkStart w:id="12" w:name="_Toc70450299"/>
      <w:r>
        <w:rPr>
          <w:rStyle w:val="18"/>
          <w:rFonts w:ascii="仿宋" w:hAnsi="仿宋" w:eastAsia="仿宋"/>
          <w:b/>
          <w:bCs/>
        </w:rPr>
        <w:t>1</w:t>
      </w:r>
      <w:r>
        <w:rPr>
          <w:rStyle w:val="18"/>
          <w:rFonts w:hint="eastAsia" w:ascii="仿宋" w:hAnsi="仿宋" w:eastAsia="仿宋"/>
          <w:b/>
          <w:bCs/>
        </w:rPr>
        <w:t>、预算编制管理</w:t>
      </w:r>
      <w:bookmarkEnd w:id="12"/>
    </w:p>
    <w:p>
      <w:pPr>
        <w:spacing w:line="360" w:lineRule="auto"/>
        <w:ind w:firstLine="506" w:firstLineChars="181"/>
        <w:rPr>
          <w:rStyle w:val="18"/>
          <w:rFonts w:asciiTheme="minorEastAsia" w:hAnsiTheme="minorEastAsia"/>
          <w:color w:val="FF0000"/>
          <w:spacing w:val="-4"/>
          <w:sz w:val="28"/>
          <w:szCs w:val="28"/>
        </w:rPr>
      </w:pPr>
      <w:r>
        <w:rPr>
          <w:rFonts w:hint="eastAsia" w:ascii="仿宋_GB2312" w:eastAsia="仿宋_GB2312"/>
          <w:sz w:val="28"/>
          <w:szCs w:val="36"/>
        </w:rPr>
        <w:t>我</w:t>
      </w:r>
      <w:r>
        <w:rPr>
          <w:rStyle w:val="18"/>
          <w:rFonts w:hint="eastAsia" w:ascii="仿宋_GB2312" w:hAnsi="楷体" w:eastAsia="仿宋_GB2312"/>
          <w:b w:val="0"/>
          <w:color w:val="auto"/>
          <w:spacing w:val="-4"/>
          <w:sz w:val="28"/>
          <w:szCs w:val="28"/>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财政局</w:t>
      </w:r>
      <w:r>
        <w:rPr>
          <w:rFonts w:hint="eastAsia" w:ascii="仿宋_GB2312" w:eastAsia="仿宋_GB2312"/>
          <w:sz w:val="28"/>
          <w:szCs w:val="36"/>
        </w:rPr>
        <w:t>要求，部门预算及绩效目标在</w:t>
      </w:r>
      <w:r>
        <w:rPr>
          <w:rFonts w:hint="eastAsia" w:ascii="仿宋_GB2312" w:eastAsia="仿宋_GB2312"/>
          <w:sz w:val="28"/>
          <w:szCs w:val="36"/>
          <w:lang w:val="en-US" w:eastAsia="zh-CN"/>
        </w:rPr>
        <w:t>特克斯县公共信息网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7"/>
        <w:spacing w:line="360" w:lineRule="auto"/>
        <w:ind w:firstLine="562" w:firstLineChars="200"/>
        <w:rPr>
          <w:rStyle w:val="18"/>
          <w:rFonts w:ascii="仿宋" w:hAnsi="仿宋" w:eastAsia="仿宋"/>
          <w:b/>
          <w:bCs/>
        </w:rPr>
      </w:pPr>
      <w:bookmarkStart w:id="13" w:name="_Toc70450300"/>
      <w:r>
        <w:rPr>
          <w:rStyle w:val="18"/>
          <w:rFonts w:hint="eastAsia" w:ascii="仿宋" w:hAnsi="仿宋" w:eastAsia="仿宋"/>
          <w:b/>
          <w:bCs/>
        </w:rPr>
        <w:t>2</w:t>
      </w:r>
      <w:r>
        <w:rPr>
          <w:rStyle w:val="18"/>
          <w:rFonts w:ascii="仿宋" w:hAnsi="仿宋" w:eastAsia="仿宋"/>
          <w:b/>
          <w:bCs/>
        </w:rPr>
        <w:t>、预算</w:t>
      </w:r>
      <w:r>
        <w:rPr>
          <w:rStyle w:val="18"/>
          <w:rFonts w:hint="eastAsia" w:ascii="仿宋" w:hAnsi="仿宋" w:eastAsia="仿宋"/>
          <w:b/>
          <w:bCs/>
        </w:rPr>
        <w:t>支出</w:t>
      </w:r>
      <w:r>
        <w:rPr>
          <w:rStyle w:val="18"/>
          <w:rFonts w:ascii="仿宋" w:hAnsi="仿宋" w:eastAsia="仿宋"/>
          <w:b/>
          <w:bCs/>
        </w:rPr>
        <w:t>管理</w:t>
      </w:r>
      <w:bookmarkEnd w:id="13"/>
    </w:p>
    <w:p>
      <w:pPr>
        <w:spacing w:line="360" w:lineRule="auto"/>
        <w:ind w:firstLine="560" w:firstLineChars="200"/>
        <w:rPr>
          <w:rStyle w:val="18"/>
          <w:b w:val="0"/>
          <w:bCs w:val="0"/>
        </w:rPr>
      </w:pPr>
      <w:r>
        <w:rPr>
          <w:rFonts w:hint="eastAsia" w:ascii="仿宋_GB2312" w:eastAsia="仿宋_GB2312"/>
          <w:sz w:val="28"/>
          <w:szCs w:val="36"/>
        </w:rPr>
        <w:t>我</w:t>
      </w:r>
      <w:r>
        <w:rPr>
          <w:rStyle w:val="18"/>
          <w:rFonts w:hint="eastAsia" w:ascii="仿宋_GB2312" w:hAnsi="楷体" w:eastAsia="仿宋_GB2312"/>
          <w:b w:val="0"/>
          <w:color w:val="auto"/>
          <w:spacing w:val="-4"/>
          <w:sz w:val="28"/>
          <w:szCs w:val="28"/>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val="en-US" w:eastAsia="zh-CN"/>
        </w:rPr>
        <w:t>特克斯县阔克铁热克乡财政收支制度</w:t>
      </w:r>
      <w:r>
        <w:rPr>
          <w:rFonts w:hint="eastAsia" w:ascii="仿宋_GB2312" w:eastAsia="仿宋_GB2312"/>
          <w:sz w:val="28"/>
          <w:szCs w:val="36"/>
        </w:rPr>
        <w:t>相关规定和《</w:t>
      </w:r>
      <w:r>
        <w:rPr>
          <w:rFonts w:hint="eastAsia" w:ascii="仿宋_GB2312" w:eastAsia="仿宋_GB2312"/>
          <w:sz w:val="28"/>
          <w:szCs w:val="36"/>
          <w:lang w:val="en-US" w:eastAsia="zh-CN"/>
        </w:rPr>
        <w:t>预算法</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val="en-US" w:eastAsia="zh-CN"/>
        </w:rPr>
        <w:t>新疆维吾尔自治区财政厅</w:t>
      </w:r>
      <w:r>
        <w:rPr>
          <w:rFonts w:hint="eastAsia" w:ascii="仿宋_GB2312" w:eastAsia="仿宋_GB2312"/>
          <w:sz w:val="28"/>
          <w:szCs w:val="36"/>
        </w:rPr>
        <w:t>《</w:t>
      </w:r>
      <w:r>
        <w:rPr>
          <w:rFonts w:hint="eastAsia" w:ascii="仿宋_GB2312" w:eastAsia="仿宋_GB2312"/>
          <w:sz w:val="28"/>
          <w:szCs w:val="36"/>
          <w:lang w:val="en-US" w:eastAsia="zh-CN"/>
        </w:rPr>
        <w:t>新疆维吾尔自治区2021-2022年度政府采购集中目录及标准</w:t>
      </w:r>
      <w:r>
        <w:rPr>
          <w:rFonts w:hint="eastAsia" w:ascii="仿宋_GB2312" w:eastAsia="仿宋_GB2312"/>
          <w:sz w:val="28"/>
          <w:szCs w:val="36"/>
        </w:rPr>
        <w:t>》组织人员制定采购计划，按照财政局采购部门批复，进行公开招标、邀请招标等方式进行；属于非政府采购的项目，按照“三重一大”制度规定，重大项目支出上党组会研究决定。</w:t>
      </w:r>
    </w:p>
    <w:p>
      <w:pPr>
        <w:pStyle w:val="6"/>
        <w:spacing w:line="360" w:lineRule="auto"/>
        <w:rPr>
          <w:rStyle w:val="18"/>
          <w:b/>
          <w:bCs/>
          <w:sz w:val="28"/>
          <w:szCs w:val="28"/>
        </w:rPr>
      </w:pPr>
      <w:bookmarkStart w:id="14" w:name="_Toc70450301"/>
      <w:r>
        <w:rPr>
          <w:rStyle w:val="18"/>
          <w:rFonts w:hint="eastAsia"/>
          <w:b/>
          <w:bCs/>
          <w:sz w:val="28"/>
          <w:szCs w:val="28"/>
        </w:rPr>
        <w:t>（二）基本支出管理及使用情况</w:t>
      </w:r>
      <w:bookmarkEnd w:id="14"/>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2021年基本支出预算安排</w:t>
      </w:r>
      <w:r>
        <w:rPr>
          <w:rStyle w:val="18"/>
          <w:rFonts w:hint="eastAsia" w:ascii="仿宋_GB2312" w:hAnsi="楷体" w:eastAsia="仿宋_GB2312"/>
          <w:b w:val="0"/>
          <w:spacing w:val="-4"/>
          <w:sz w:val="28"/>
          <w:szCs w:val="28"/>
          <w:lang w:val="en-US" w:eastAsia="zh-CN"/>
        </w:rPr>
        <w:t>2693.49</w:t>
      </w:r>
      <w:r>
        <w:rPr>
          <w:rStyle w:val="18"/>
          <w:rFonts w:hint="eastAsia" w:ascii="仿宋_GB2312" w:hAnsi="楷体" w:eastAsia="仿宋_GB2312"/>
          <w:b w:val="0"/>
          <w:spacing w:val="-4"/>
          <w:sz w:val="28"/>
          <w:szCs w:val="28"/>
        </w:rPr>
        <w:t>万元，实际到位</w:t>
      </w:r>
      <w:r>
        <w:rPr>
          <w:rStyle w:val="18"/>
          <w:rFonts w:hint="eastAsia" w:ascii="仿宋_GB2312" w:hAnsi="楷体" w:eastAsia="仿宋_GB2312"/>
          <w:b w:val="0"/>
          <w:spacing w:val="-4"/>
          <w:sz w:val="28"/>
          <w:szCs w:val="28"/>
          <w:lang w:val="en-US" w:eastAsia="zh-CN"/>
        </w:rPr>
        <w:t>2693.49</w:t>
      </w:r>
      <w:r>
        <w:rPr>
          <w:rStyle w:val="18"/>
          <w:rFonts w:hint="eastAsia" w:ascii="仿宋_GB2312" w:hAnsi="楷体" w:eastAsia="仿宋_GB2312"/>
          <w:b w:val="0"/>
          <w:spacing w:val="-4"/>
          <w:sz w:val="28"/>
          <w:szCs w:val="28"/>
        </w:rPr>
        <w:t>万元,实际支出</w:t>
      </w:r>
      <w:r>
        <w:rPr>
          <w:rStyle w:val="18"/>
          <w:rFonts w:hint="eastAsia" w:ascii="仿宋_GB2312" w:hAnsi="楷体" w:eastAsia="仿宋_GB2312"/>
          <w:b w:val="0"/>
          <w:spacing w:val="-4"/>
          <w:sz w:val="28"/>
          <w:szCs w:val="28"/>
          <w:lang w:val="en-US" w:eastAsia="zh-CN"/>
        </w:rPr>
        <w:t>2693.49</w:t>
      </w:r>
      <w:r>
        <w:rPr>
          <w:rStyle w:val="18"/>
          <w:rFonts w:hint="eastAsia" w:ascii="仿宋_GB2312" w:hAnsi="楷体" w:eastAsia="仿宋_GB2312"/>
          <w:b w:val="0"/>
          <w:spacing w:val="-4"/>
          <w:sz w:val="28"/>
          <w:szCs w:val="28"/>
        </w:rPr>
        <w:t>万元，占总支出的</w:t>
      </w:r>
      <w:r>
        <w:rPr>
          <w:rStyle w:val="18"/>
          <w:rFonts w:hint="eastAsia" w:ascii="仿宋_GB2312" w:hAnsi="楷体" w:eastAsia="仿宋_GB2312"/>
          <w:b w:val="0"/>
          <w:spacing w:val="-4"/>
          <w:sz w:val="28"/>
          <w:szCs w:val="28"/>
          <w:lang w:val="en-US" w:eastAsia="zh-CN"/>
        </w:rPr>
        <w:t>64.66</w:t>
      </w:r>
      <w:r>
        <w:rPr>
          <w:rStyle w:val="18"/>
          <w:rFonts w:hint="eastAsia" w:ascii="仿宋_GB2312" w:hAnsi="楷体" w:eastAsia="仿宋_GB2312"/>
          <w:b w:val="0"/>
          <w:spacing w:val="-4"/>
          <w:sz w:val="28"/>
          <w:szCs w:val="28"/>
        </w:rPr>
        <w:t>％，其中：工资福利支出</w:t>
      </w:r>
      <w:r>
        <w:rPr>
          <w:rStyle w:val="18"/>
          <w:rFonts w:hint="eastAsia" w:ascii="仿宋_GB2312" w:hAnsi="楷体" w:eastAsia="仿宋_GB2312"/>
          <w:b w:val="0"/>
          <w:spacing w:val="-4"/>
          <w:sz w:val="28"/>
          <w:szCs w:val="28"/>
          <w:lang w:val="en-US" w:eastAsia="zh-CN"/>
        </w:rPr>
        <w:t>1883.25</w:t>
      </w:r>
      <w:r>
        <w:rPr>
          <w:rStyle w:val="18"/>
          <w:rFonts w:hint="eastAsia" w:ascii="仿宋_GB2312" w:hAnsi="楷体" w:eastAsia="仿宋_GB2312"/>
          <w:b w:val="0"/>
          <w:spacing w:val="-4"/>
          <w:sz w:val="28"/>
          <w:szCs w:val="28"/>
        </w:rPr>
        <w:t>万元、商品和服务支出</w:t>
      </w:r>
      <w:r>
        <w:rPr>
          <w:rStyle w:val="18"/>
          <w:rFonts w:hint="eastAsia" w:ascii="仿宋_GB2312" w:hAnsi="楷体" w:eastAsia="仿宋_GB2312"/>
          <w:b w:val="0"/>
          <w:spacing w:val="-4"/>
          <w:sz w:val="28"/>
          <w:szCs w:val="28"/>
          <w:lang w:val="en-US" w:eastAsia="zh-CN"/>
        </w:rPr>
        <w:t>326.96</w:t>
      </w:r>
      <w:r>
        <w:rPr>
          <w:rStyle w:val="18"/>
          <w:rFonts w:hint="eastAsia" w:ascii="仿宋_GB2312" w:hAnsi="楷体" w:eastAsia="仿宋_GB2312"/>
          <w:b w:val="0"/>
          <w:spacing w:val="-4"/>
          <w:sz w:val="28"/>
          <w:szCs w:val="28"/>
        </w:rPr>
        <w:t>万元、对个人和家庭的补助</w:t>
      </w:r>
      <w:r>
        <w:rPr>
          <w:rStyle w:val="18"/>
          <w:rFonts w:hint="eastAsia" w:ascii="仿宋_GB2312" w:hAnsi="楷体" w:eastAsia="仿宋_GB2312"/>
          <w:b w:val="0"/>
          <w:spacing w:val="-4"/>
          <w:sz w:val="28"/>
          <w:szCs w:val="28"/>
          <w:lang w:val="en-US" w:eastAsia="zh-CN"/>
        </w:rPr>
        <w:t>483.28</w:t>
      </w:r>
      <w:r>
        <w:rPr>
          <w:rStyle w:val="18"/>
          <w:rFonts w:hint="eastAsia" w:ascii="仿宋_GB2312" w:hAnsi="楷体" w:eastAsia="仿宋_GB2312"/>
          <w:b w:val="0"/>
          <w:spacing w:val="-4"/>
          <w:sz w:val="28"/>
          <w:szCs w:val="28"/>
        </w:rPr>
        <w:t>万元、主要用于主要用于</w:t>
      </w:r>
      <w:r>
        <w:rPr>
          <w:rStyle w:val="18"/>
          <w:rFonts w:hint="eastAsia" w:ascii="仿宋_GB2312" w:hAnsi="楷体" w:eastAsia="仿宋_GB2312"/>
          <w:b w:val="0"/>
          <w:spacing w:val="-4"/>
          <w:sz w:val="28"/>
          <w:szCs w:val="28"/>
          <w:lang w:eastAsia="zh-CN"/>
        </w:rPr>
        <w:t>一次性抚恤金，</w:t>
      </w:r>
      <w:r>
        <w:rPr>
          <w:rStyle w:val="18"/>
          <w:rFonts w:hint="eastAsia" w:ascii="仿宋_GB2312" w:hAnsi="楷体" w:eastAsia="仿宋_GB2312"/>
          <w:b w:val="0"/>
          <w:spacing w:val="-4"/>
          <w:sz w:val="28"/>
          <w:szCs w:val="28"/>
          <w:lang w:val="en-US" w:eastAsia="zh-CN"/>
        </w:rPr>
        <w:t>双联户人员补助，疫情个体工商户补助等，退休人员取暖费</w:t>
      </w:r>
      <w:r>
        <w:rPr>
          <w:rStyle w:val="18"/>
          <w:rFonts w:hint="eastAsia" w:ascii="仿宋_GB2312" w:hAnsi="楷体" w:eastAsia="仿宋_GB2312"/>
          <w:b w:val="0"/>
          <w:spacing w:val="-4"/>
          <w:sz w:val="28"/>
          <w:szCs w:val="28"/>
        </w:rPr>
        <w:t>。资本性支出</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w:t>
      </w:r>
    </w:p>
    <w:p>
      <w:pPr>
        <w:spacing w:line="360" w:lineRule="auto"/>
        <w:ind w:firstLine="492" w:firstLineChars="181"/>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2021年基本支出比上年</w:t>
      </w:r>
      <w:r>
        <w:rPr>
          <w:rStyle w:val="18"/>
          <w:rFonts w:hint="eastAsia" w:ascii="仿宋_GB2312" w:hAnsi="楷体" w:eastAsia="仿宋_GB2312"/>
          <w:b w:val="0"/>
          <w:spacing w:val="-4"/>
          <w:sz w:val="28"/>
          <w:szCs w:val="28"/>
          <w:highlight w:val="none"/>
          <w:lang w:val="en-US" w:eastAsia="zh-CN"/>
        </w:rPr>
        <w:t>2838.65</w:t>
      </w:r>
      <w:r>
        <w:rPr>
          <w:rStyle w:val="18"/>
          <w:rFonts w:hint="eastAsia" w:ascii="仿宋_GB2312" w:hAnsi="楷体" w:eastAsia="仿宋_GB2312"/>
          <w:b w:val="0"/>
          <w:spacing w:val="-4"/>
          <w:sz w:val="28"/>
          <w:szCs w:val="28"/>
          <w:highlight w:val="none"/>
        </w:rPr>
        <w:t>万元,增加</w:t>
      </w:r>
      <w:r>
        <w:rPr>
          <w:rStyle w:val="18"/>
          <w:rFonts w:hint="eastAsia" w:ascii="仿宋_GB2312" w:hAnsi="楷体" w:eastAsia="仿宋_GB2312"/>
          <w:b w:val="0"/>
          <w:spacing w:val="-4"/>
          <w:sz w:val="28"/>
          <w:szCs w:val="28"/>
          <w:highlight w:val="none"/>
          <w:lang w:val="en-US" w:eastAsia="zh-CN"/>
        </w:rPr>
        <w:t>145.16</w:t>
      </w:r>
      <w:r>
        <w:rPr>
          <w:rStyle w:val="18"/>
          <w:rFonts w:hint="eastAsia" w:ascii="仿宋_GB2312" w:hAnsi="楷体" w:eastAsia="仿宋_GB2312"/>
          <w:b w:val="0"/>
          <w:spacing w:val="-4"/>
          <w:sz w:val="28"/>
          <w:szCs w:val="28"/>
          <w:highlight w:val="none"/>
        </w:rPr>
        <w:t>万元，上升</w:t>
      </w:r>
      <w:r>
        <w:rPr>
          <w:rStyle w:val="18"/>
          <w:rFonts w:hint="eastAsia" w:ascii="仿宋_GB2312" w:hAnsi="宋体" w:eastAsia="仿宋_GB2312"/>
          <w:b w:val="0"/>
          <w:bCs w:val="0"/>
          <w:spacing w:val="-4"/>
          <w:sz w:val="28"/>
          <w:szCs w:val="28"/>
          <w:highlight w:val="none"/>
          <w:lang w:val="en-US" w:eastAsia="zh-CN"/>
        </w:rPr>
        <w:t>5.39</w:t>
      </w:r>
      <w:r>
        <w:rPr>
          <w:rStyle w:val="18"/>
          <w:rFonts w:ascii="仿宋_GB2312" w:hAnsi="宋体" w:eastAsia="仿宋_GB2312"/>
          <w:b w:val="0"/>
          <w:bCs w:val="0"/>
          <w:spacing w:val="-4"/>
          <w:sz w:val="28"/>
          <w:szCs w:val="28"/>
          <w:highlight w:val="none"/>
        </w:rPr>
        <w:t>%</w:t>
      </w:r>
      <w:r>
        <w:rPr>
          <w:rStyle w:val="18"/>
          <w:rFonts w:hint="eastAsia" w:ascii="仿宋_GB2312" w:hAnsi="楷体" w:eastAsia="仿宋_GB2312"/>
          <w:b w:val="0"/>
          <w:spacing w:val="-4"/>
          <w:sz w:val="28"/>
          <w:szCs w:val="28"/>
          <w:highlight w:val="none"/>
        </w:rPr>
        <w:t>，支出上升的主要原因是</w:t>
      </w:r>
      <w:r>
        <w:rPr>
          <w:rStyle w:val="18"/>
          <w:rFonts w:hint="eastAsia" w:ascii="仿宋_GB2312" w:hAnsi="楷体" w:eastAsia="仿宋_GB2312"/>
          <w:b w:val="0"/>
          <w:spacing w:val="-4"/>
          <w:sz w:val="28"/>
          <w:szCs w:val="28"/>
          <w:highlight w:val="none"/>
          <w:lang w:val="en-US" w:eastAsia="zh-CN"/>
        </w:rPr>
        <w:t>人员变动，机构改革，工资上升</w:t>
      </w:r>
      <w:r>
        <w:rPr>
          <w:rStyle w:val="18"/>
          <w:rFonts w:hint="eastAsia" w:ascii="仿宋_GB2312" w:hAnsi="楷体" w:eastAsia="仿宋_GB2312"/>
          <w:b w:val="0"/>
          <w:spacing w:val="-4"/>
          <w:sz w:val="28"/>
          <w:szCs w:val="28"/>
          <w:highlight w:val="none"/>
        </w:rPr>
        <w:t>。</w:t>
      </w:r>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年一般公共预算“三公”经费数为</w:t>
      </w:r>
      <w:r>
        <w:rPr>
          <w:rStyle w:val="18"/>
          <w:rFonts w:hint="eastAsia" w:ascii="仿宋_GB2312" w:hAnsi="楷体" w:eastAsia="仿宋_GB2312"/>
          <w:b w:val="0"/>
          <w:spacing w:val="-4"/>
          <w:sz w:val="28"/>
          <w:szCs w:val="28"/>
          <w:lang w:val="en-US" w:eastAsia="zh-CN"/>
        </w:rPr>
        <w:t>3.69</w:t>
      </w:r>
      <w:r>
        <w:rPr>
          <w:rStyle w:val="18"/>
          <w:rFonts w:hint="eastAsia" w:ascii="仿宋_GB2312" w:hAnsi="楷体" w:eastAsia="仿宋_GB2312"/>
          <w:b w:val="0"/>
          <w:spacing w:val="-4"/>
          <w:sz w:val="28"/>
          <w:szCs w:val="28"/>
        </w:rPr>
        <w:t>万元，其中：因公出国（境）费</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 xml:space="preserve">万元，公务用车购置 </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万元，公务用车运行费</w:t>
      </w:r>
      <w:r>
        <w:rPr>
          <w:rStyle w:val="18"/>
          <w:rFonts w:hint="eastAsia" w:ascii="仿宋_GB2312" w:hAnsi="楷体" w:eastAsia="仿宋_GB2312"/>
          <w:b w:val="0"/>
          <w:spacing w:val="-4"/>
          <w:sz w:val="28"/>
          <w:szCs w:val="28"/>
          <w:lang w:val="en-US" w:eastAsia="zh-CN"/>
        </w:rPr>
        <w:t>3.69</w:t>
      </w:r>
      <w:r>
        <w:rPr>
          <w:rStyle w:val="18"/>
          <w:rFonts w:hint="eastAsia" w:ascii="仿宋_GB2312" w:hAnsi="楷体" w:eastAsia="仿宋_GB2312"/>
          <w:b w:val="0"/>
          <w:spacing w:val="-4"/>
          <w:sz w:val="28"/>
          <w:szCs w:val="28"/>
        </w:rPr>
        <w:t>万元，公务接待费</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w:t>
      </w:r>
    </w:p>
    <w:p>
      <w:pPr>
        <w:spacing w:line="360" w:lineRule="auto"/>
        <w:ind w:firstLine="492" w:firstLineChars="181"/>
        <w:rPr>
          <w:rStyle w:val="18"/>
          <w:rFonts w:hint="eastAsia" w:ascii="仿宋_GB2312" w:hAnsi="楷体" w:eastAsia="仿宋_GB2312"/>
          <w:b w:val="0"/>
          <w:spacing w:val="-4"/>
          <w:sz w:val="28"/>
          <w:szCs w:val="28"/>
          <w:lang w:eastAsia="zh-CN"/>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年一般公共预算“三公”经费比上年减少</w:t>
      </w:r>
      <w:r>
        <w:rPr>
          <w:rStyle w:val="18"/>
          <w:rFonts w:hint="eastAsia" w:ascii="仿宋_GB2312" w:hAnsi="楷体" w:eastAsia="仿宋_GB2312"/>
          <w:b w:val="0"/>
          <w:spacing w:val="-4"/>
          <w:sz w:val="28"/>
          <w:szCs w:val="28"/>
          <w:lang w:val="en-US" w:eastAsia="zh-CN"/>
        </w:rPr>
        <w:t>3.31</w:t>
      </w:r>
      <w:r>
        <w:rPr>
          <w:rStyle w:val="18"/>
          <w:rFonts w:hint="eastAsia" w:ascii="仿宋_GB2312" w:hAnsi="楷体" w:eastAsia="仿宋_GB2312"/>
          <w:b w:val="0"/>
          <w:spacing w:val="-4"/>
          <w:sz w:val="28"/>
          <w:szCs w:val="28"/>
        </w:rPr>
        <w:t>万元，其中：因公出国（境）费增加</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万元，主要原因是未安排预算；公务用车购置费为0，未安排预算；公务用车运行费减少</w:t>
      </w:r>
      <w:r>
        <w:rPr>
          <w:rStyle w:val="18"/>
          <w:rFonts w:hint="eastAsia" w:ascii="仿宋_GB2312" w:hAnsi="楷体" w:eastAsia="仿宋_GB2312"/>
          <w:b w:val="0"/>
          <w:spacing w:val="-4"/>
          <w:sz w:val="28"/>
          <w:szCs w:val="28"/>
          <w:lang w:val="en-US" w:eastAsia="zh-CN"/>
        </w:rPr>
        <w:t>3.31</w:t>
      </w:r>
      <w:r>
        <w:rPr>
          <w:rStyle w:val="18"/>
          <w:rFonts w:hint="eastAsia" w:ascii="仿宋_GB2312" w:hAnsi="楷体" w:eastAsia="仿宋_GB2312"/>
          <w:b w:val="0"/>
          <w:spacing w:val="-4"/>
          <w:sz w:val="28"/>
          <w:szCs w:val="28"/>
        </w:rPr>
        <w:t>万元，主要原因是</w:t>
      </w:r>
      <w:r>
        <w:rPr>
          <w:rStyle w:val="18"/>
          <w:rFonts w:hint="eastAsia" w:ascii="仿宋_GB2312" w:hAnsi="楷体" w:eastAsia="仿宋_GB2312"/>
          <w:b w:val="0"/>
          <w:spacing w:val="-4"/>
          <w:sz w:val="28"/>
          <w:szCs w:val="28"/>
          <w:lang w:val="en-US" w:eastAsia="zh-CN"/>
        </w:rPr>
        <w:t>公用经费压缩</w:t>
      </w:r>
      <w:r>
        <w:rPr>
          <w:rStyle w:val="18"/>
          <w:rFonts w:hint="eastAsia" w:ascii="仿宋_GB2312" w:hAnsi="楷体" w:eastAsia="仿宋_GB2312"/>
          <w:b w:val="0"/>
          <w:spacing w:val="-4"/>
          <w:sz w:val="28"/>
          <w:szCs w:val="28"/>
        </w:rPr>
        <w:t>；公务接待费增加</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万元，主要原因是未安排预算</w:t>
      </w:r>
      <w:r>
        <w:rPr>
          <w:rStyle w:val="18"/>
          <w:rFonts w:hint="eastAsia" w:ascii="仿宋_GB2312" w:hAnsi="楷体" w:eastAsia="仿宋_GB2312"/>
          <w:b w:val="0"/>
          <w:spacing w:val="-4"/>
          <w:sz w:val="28"/>
          <w:szCs w:val="28"/>
          <w:lang w:eastAsia="zh-CN"/>
        </w:rPr>
        <w:t>。</w:t>
      </w:r>
    </w:p>
    <w:p>
      <w:pPr>
        <w:pStyle w:val="6"/>
        <w:spacing w:line="360" w:lineRule="auto"/>
        <w:rPr>
          <w:rStyle w:val="18"/>
          <w:rFonts w:ascii="仿宋" w:hAnsi="仿宋" w:eastAsia="仿宋"/>
          <w:b/>
          <w:bCs/>
        </w:rPr>
      </w:pPr>
      <w:bookmarkStart w:id="15" w:name="_Toc70450302"/>
      <w:r>
        <w:rPr>
          <w:rStyle w:val="18"/>
          <w:rFonts w:hint="eastAsia" w:ascii="仿宋" w:hAnsi="仿宋" w:eastAsia="仿宋"/>
          <w:b/>
          <w:bCs/>
        </w:rPr>
        <w:t>（三）专项支出管理及使用情况</w:t>
      </w:r>
      <w:bookmarkEnd w:id="15"/>
    </w:p>
    <w:p>
      <w:pPr>
        <w:pStyle w:val="7"/>
        <w:spacing w:line="360" w:lineRule="auto"/>
        <w:ind w:firstLine="562" w:firstLineChars="200"/>
        <w:rPr>
          <w:rStyle w:val="18"/>
          <w:rFonts w:ascii="仿宋" w:hAnsi="仿宋" w:eastAsia="仿宋"/>
          <w:b/>
          <w:bCs/>
        </w:rPr>
      </w:pPr>
      <w:bookmarkStart w:id="16" w:name="_Toc70450303"/>
      <w:r>
        <w:rPr>
          <w:rStyle w:val="18"/>
          <w:rFonts w:hint="eastAsia" w:ascii="仿宋" w:hAnsi="仿宋" w:eastAsia="仿宋"/>
          <w:b/>
          <w:bCs/>
        </w:rPr>
        <w:t>1、专项资金安排落实、总投入等情况分析</w:t>
      </w:r>
      <w:bookmarkEnd w:id="16"/>
    </w:p>
    <w:p>
      <w:pPr>
        <w:spacing w:line="360" w:lineRule="auto"/>
        <w:ind w:firstLine="492" w:firstLineChars="181"/>
        <w:rPr>
          <w:rStyle w:val="18"/>
          <w:rFonts w:ascii="仿宋_GB2312" w:hAnsi="楷体" w:eastAsia="仿宋_GB2312"/>
          <w:b w:val="0"/>
          <w:color w:val="000000" w:themeColor="text1"/>
          <w:spacing w:val="-4"/>
          <w:sz w:val="28"/>
          <w:szCs w:val="28"/>
          <w14:textFill>
            <w14:solidFill>
              <w14:schemeClr w14:val="tx1"/>
            </w14:solidFill>
          </w14:textFill>
        </w:rPr>
      </w:pPr>
      <w:r>
        <w:rPr>
          <w:rStyle w:val="18"/>
          <w:rFonts w:ascii="仿宋_GB2312" w:hAnsi="楷体" w:eastAsia="仿宋_GB2312"/>
          <w:b w:val="0"/>
          <w:color w:val="000000" w:themeColor="text1"/>
          <w:spacing w:val="-4"/>
          <w:sz w:val="28"/>
          <w:szCs w:val="28"/>
          <w14:textFill>
            <w14:solidFill>
              <w14:schemeClr w14:val="tx1"/>
            </w14:solidFill>
          </w14:textFill>
        </w:rPr>
        <w:t>2021</w:t>
      </w:r>
      <w:r>
        <w:rPr>
          <w:rStyle w:val="18"/>
          <w:rFonts w:hint="eastAsia" w:ascii="仿宋_GB2312" w:hAnsi="楷体" w:eastAsia="仿宋_GB2312"/>
          <w:b w:val="0"/>
          <w:color w:val="000000" w:themeColor="text1"/>
          <w:spacing w:val="-4"/>
          <w:sz w:val="28"/>
          <w:szCs w:val="28"/>
          <w14:textFill>
            <w14:solidFill>
              <w14:schemeClr w14:val="tx1"/>
            </w14:solidFill>
          </w14:textFill>
        </w:rPr>
        <w:t>年预算安排专项资金</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20</w:t>
      </w:r>
      <w:r>
        <w:rPr>
          <w:rStyle w:val="18"/>
          <w:rFonts w:hint="eastAsia" w:ascii="仿宋_GB2312" w:hAnsi="楷体" w:eastAsia="仿宋_GB2312"/>
          <w:b w:val="0"/>
          <w:color w:val="000000" w:themeColor="text1"/>
          <w:spacing w:val="-4"/>
          <w:sz w:val="28"/>
          <w:szCs w:val="28"/>
          <w14:textFill>
            <w14:solidFill>
              <w14:schemeClr w14:val="tx1"/>
            </w14:solidFill>
          </w14:textFill>
        </w:rPr>
        <w:t>万元，实际到位</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20</w:t>
      </w:r>
      <w:r>
        <w:rPr>
          <w:rStyle w:val="18"/>
          <w:rFonts w:hint="eastAsia" w:ascii="仿宋_GB2312" w:hAnsi="楷体" w:eastAsia="仿宋_GB2312"/>
          <w:b w:val="0"/>
          <w:color w:val="000000" w:themeColor="text1"/>
          <w:spacing w:val="-4"/>
          <w:sz w:val="28"/>
          <w:szCs w:val="28"/>
          <w14:textFill>
            <w14:solidFill>
              <w14:schemeClr w14:val="tx1"/>
            </w14:solidFill>
          </w14:textFill>
        </w:rPr>
        <w:t>万元,</w:t>
      </w:r>
      <w:r>
        <w:rPr>
          <w:rFonts w:hint="eastAsia"/>
          <w:color w:val="000000" w:themeColor="text1"/>
          <w14:textFill>
            <w14:solidFill>
              <w14:schemeClr w14:val="tx1"/>
            </w14:solidFill>
          </w14:textFill>
        </w:rPr>
        <w:t xml:space="preserve"> </w:t>
      </w:r>
      <w:r>
        <w:rPr>
          <w:rStyle w:val="18"/>
          <w:rFonts w:hint="eastAsia" w:ascii="仿宋_GB2312" w:hAnsi="楷体" w:eastAsia="仿宋_GB2312"/>
          <w:b w:val="0"/>
          <w:color w:val="000000" w:themeColor="text1"/>
          <w:spacing w:val="-4"/>
          <w:sz w:val="28"/>
          <w:szCs w:val="28"/>
          <w14:textFill>
            <w14:solidFill>
              <w14:schemeClr w14:val="tx1"/>
            </w14:solidFill>
          </w14:textFill>
        </w:rPr>
        <w:t>到位率</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100</w:t>
      </w:r>
      <w:r>
        <w:rPr>
          <w:rStyle w:val="18"/>
          <w:rFonts w:hint="eastAsia" w:ascii="仿宋_GB2312" w:hAnsi="楷体" w:eastAsia="仿宋_GB2312"/>
          <w:b w:val="0"/>
          <w:color w:val="000000" w:themeColor="text1"/>
          <w:spacing w:val="-4"/>
          <w:sz w:val="28"/>
          <w:szCs w:val="28"/>
          <w14:textFill>
            <w14:solidFill>
              <w14:schemeClr w14:val="tx1"/>
            </w14:solidFill>
          </w14:textFill>
        </w:rPr>
        <w:t>％,其中:中央转移支付项目资金</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0.00</w:t>
      </w:r>
      <w:r>
        <w:rPr>
          <w:rStyle w:val="18"/>
          <w:rFonts w:hint="eastAsia" w:ascii="仿宋_GB2312" w:hAnsi="楷体" w:eastAsia="仿宋_GB2312"/>
          <w:b w:val="0"/>
          <w:color w:val="000000" w:themeColor="text1"/>
          <w:spacing w:val="-4"/>
          <w:sz w:val="28"/>
          <w:szCs w:val="28"/>
          <w14:textFill>
            <w14:solidFill>
              <w14:schemeClr w14:val="tx1"/>
            </w14:solidFill>
          </w14:textFill>
        </w:rPr>
        <w:t>万元，自治区资金</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20.00</w:t>
      </w:r>
      <w:r>
        <w:rPr>
          <w:rStyle w:val="18"/>
          <w:rFonts w:hint="eastAsia" w:ascii="仿宋_GB2312" w:hAnsi="楷体" w:eastAsia="仿宋_GB2312"/>
          <w:b w:val="0"/>
          <w:color w:val="000000" w:themeColor="text1"/>
          <w:spacing w:val="-4"/>
          <w:sz w:val="28"/>
          <w:szCs w:val="28"/>
          <w14:textFill>
            <w14:solidFill>
              <w14:schemeClr w14:val="tx1"/>
            </w14:solidFill>
          </w14:textFill>
        </w:rPr>
        <w:t>万元，本级安排</w:t>
      </w:r>
      <w:r>
        <w:rPr>
          <w:rStyle w:val="18"/>
          <w:rFonts w:hint="eastAsia" w:ascii="仿宋_GB2312" w:hAnsi="楷体" w:eastAsia="仿宋_GB2312"/>
          <w:b w:val="0"/>
          <w:color w:val="000000" w:themeColor="text1"/>
          <w:spacing w:val="-4"/>
          <w:sz w:val="28"/>
          <w:szCs w:val="28"/>
          <w:lang w:val="en-US" w:eastAsia="zh-CN"/>
          <w14:textFill>
            <w14:solidFill>
              <w14:schemeClr w14:val="tx1"/>
            </w14:solidFill>
          </w14:textFill>
        </w:rPr>
        <w:t>0</w:t>
      </w:r>
      <w:r>
        <w:rPr>
          <w:rStyle w:val="18"/>
          <w:rFonts w:hint="eastAsia" w:ascii="仿宋_GB2312" w:hAnsi="楷体" w:eastAsia="仿宋_GB2312"/>
          <w:b w:val="0"/>
          <w:color w:val="000000" w:themeColor="text1"/>
          <w:spacing w:val="-4"/>
          <w:sz w:val="28"/>
          <w:szCs w:val="28"/>
          <w14:textFill>
            <w14:solidFill>
              <w14:schemeClr w14:val="tx1"/>
            </w14:solidFill>
          </w14:textFill>
        </w:rPr>
        <w:t>万元。</w:t>
      </w:r>
    </w:p>
    <w:p>
      <w:pPr>
        <w:pStyle w:val="7"/>
        <w:spacing w:line="360" w:lineRule="auto"/>
        <w:ind w:firstLine="562" w:firstLineChars="200"/>
        <w:rPr>
          <w:rStyle w:val="18"/>
          <w:rFonts w:ascii="仿宋" w:hAnsi="仿宋" w:eastAsia="仿宋"/>
          <w:b/>
          <w:bCs/>
        </w:rPr>
      </w:pPr>
      <w:bookmarkStart w:id="17" w:name="_Toc70450304"/>
      <w:r>
        <w:rPr>
          <w:rStyle w:val="18"/>
          <w:rFonts w:hint="eastAsia" w:ascii="仿宋" w:hAnsi="仿宋" w:eastAsia="仿宋"/>
          <w:b/>
          <w:bCs/>
        </w:rPr>
        <w:t>2、专项资金实际使用情况</w:t>
      </w:r>
      <w:bookmarkEnd w:id="17"/>
    </w:p>
    <w:p>
      <w:pPr>
        <w:spacing w:line="360" w:lineRule="auto"/>
        <w:ind w:firstLine="544" w:firstLineChars="200"/>
        <w:rPr>
          <w:rStyle w:val="18"/>
          <w:rFonts w:hint="default" w:ascii="仿宋_GB2312" w:hAnsi="楷体" w:eastAsia="仿宋_GB2312"/>
          <w:b w:val="0"/>
          <w:spacing w:val="-4"/>
          <w:sz w:val="28"/>
          <w:szCs w:val="28"/>
          <w:highlight w:val="none"/>
          <w:lang w:val="en-US" w:eastAsia="zh-CN"/>
        </w:rPr>
      </w:pPr>
      <w:r>
        <w:rPr>
          <w:rStyle w:val="18"/>
          <w:rFonts w:hint="eastAsia" w:ascii="仿宋_GB2312" w:hAnsi="楷体" w:eastAsia="仿宋_GB2312"/>
          <w:b w:val="0"/>
          <w:spacing w:val="-4"/>
          <w:sz w:val="28"/>
          <w:szCs w:val="28"/>
        </w:rPr>
        <w:t>2021年专项资金支出</w:t>
      </w:r>
      <w:r>
        <w:rPr>
          <w:rStyle w:val="18"/>
          <w:rFonts w:hint="eastAsia" w:ascii="仿宋_GB2312" w:hAnsi="楷体" w:eastAsia="仿宋_GB2312"/>
          <w:b w:val="0"/>
          <w:spacing w:val="-4"/>
          <w:sz w:val="28"/>
          <w:szCs w:val="28"/>
          <w:lang w:val="en-US" w:eastAsia="zh-CN"/>
        </w:rPr>
        <w:t>20</w:t>
      </w:r>
      <w:r>
        <w:rPr>
          <w:rStyle w:val="18"/>
          <w:rFonts w:hint="eastAsia" w:ascii="仿宋_GB2312" w:hAnsi="楷体" w:eastAsia="仿宋_GB2312"/>
          <w:b w:val="0"/>
          <w:spacing w:val="-4"/>
          <w:sz w:val="28"/>
          <w:szCs w:val="28"/>
        </w:rPr>
        <w:t>万元，占总支出的</w:t>
      </w:r>
      <w:r>
        <w:rPr>
          <w:rStyle w:val="18"/>
          <w:rFonts w:hint="eastAsia" w:ascii="仿宋_GB2312" w:hAnsi="楷体" w:eastAsia="仿宋_GB2312"/>
          <w:b w:val="0"/>
          <w:spacing w:val="-4"/>
          <w:sz w:val="28"/>
          <w:szCs w:val="28"/>
          <w:lang w:val="en-US" w:eastAsia="zh-CN"/>
        </w:rPr>
        <w:t>0.48</w:t>
      </w:r>
      <w:r>
        <w:rPr>
          <w:rStyle w:val="18"/>
          <w:rFonts w:hint="eastAsia" w:ascii="仿宋_GB2312" w:hAnsi="楷体" w:eastAsia="仿宋_GB2312"/>
          <w:b w:val="0"/>
          <w:spacing w:val="-4"/>
          <w:sz w:val="28"/>
          <w:szCs w:val="28"/>
        </w:rPr>
        <w:t>%，其中2021年专项项目支出比上年</w:t>
      </w:r>
      <w:r>
        <w:rPr>
          <w:rStyle w:val="18"/>
          <w:rFonts w:hint="eastAsia" w:ascii="仿宋_GB2312" w:hAnsi="楷体" w:eastAsia="仿宋_GB2312"/>
          <w:b w:val="0"/>
          <w:spacing w:val="-4"/>
          <w:sz w:val="28"/>
          <w:szCs w:val="28"/>
          <w:lang w:val="en-US" w:eastAsia="zh-CN"/>
        </w:rPr>
        <w:t>973.63</w:t>
      </w:r>
      <w:r>
        <w:rPr>
          <w:rStyle w:val="18"/>
          <w:rFonts w:hint="eastAsia" w:ascii="仿宋_GB2312" w:hAnsi="楷体" w:eastAsia="仿宋_GB2312"/>
          <w:b w:val="0"/>
          <w:spacing w:val="-4"/>
          <w:sz w:val="28"/>
          <w:szCs w:val="28"/>
        </w:rPr>
        <w:t>万元</w:t>
      </w:r>
      <w:r>
        <w:rPr>
          <w:rStyle w:val="18"/>
          <w:rFonts w:hint="eastAsia" w:ascii="仿宋_GB2312" w:hAnsi="楷体" w:eastAsia="仿宋_GB2312"/>
          <w:b w:val="0"/>
          <w:spacing w:val="-4"/>
          <w:sz w:val="28"/>
          <w:szCs w:val="28"/>
          <w:lang w:val="en-US" w:eastAsia="zh-CN"/>
        </w:rPr>
        <w:t>减少953.63</w:t>
      </w:r>
      <w:r>
        <w:rPr>
          <w:rStyle w:val="18"/>
          <w:rFonts w:hint="eastAsia" w:ascii="仿宋_GB2312" w:hAnsi="楷体" w:eastAsia="仿宋_GB2312"/>
          <w:b w:val="0"/>
          <w:spacing w:val="-4"/>
          <w:sz w:val="28"/>
          <w:szCs w:val="28"/>
        </w:rPr>
        <w:t>万元，上升</w:t>
      </w:r>
      <w:r>
        <w:rPr>
          <w:rStyle w:val="18"/>
          <w:rFonts w:hint="eastAsia" w:ascii="仿宋_GB2312" w:hAnsi="楷体" w:eastAsia="仿宋_GB2312"/>
          <w:b w:val="0"/>
          <w:spacing w:val="-4"/>
          <w:sz w:val="28"/>
          <w:szCs w:val="28"/>
          <w:lang w:val="en-US" w:eastAsia="zh-CN"/>
        </w:rPr>
        <w:t>97.95</w:t>
      </w:r>
      <w:r>
        <w:rPr>
          <w:rStyle w:val="18"/>
          <w:rFonts w:hint="eastAsia" w:ascii="仿宋_GB2312" w:hAnsi="楷体" w:eastAsia="仿宋_GB2312"/>
          <w:b w:val="0"/>
          <w:spacing w:val="-4"/>
          <w:sz w:val="28"/>
          <w:szCs w:val="28"/>
        </w:rPr>
        <w:t>%。支出</w:t>
      </w:r>
      <w:r>
        <w:rPr>
          <w:rStyle w:val="18"/>
          <w:rFonts w:hint="eastAsia" w:ascii="仿宋_GB2312" w:hAnsi="楷体" w:eastAsia="仿宋_GB2312"/>
          <w:b w:val="0"/>
          <w:spacing w:val="-4"/>
          <w:sz w:val="28"/>
          <w:szCs w:val="28"/>
          <w:lang w:val="en-US" w:eastAsia="zh-CN"/>
        </w:rPr>
        <w:t>下降</w:t>
      </w:r>
      <w:r>
        <w:rPr>
          <w:rStyle w:val="18"/>
          <w:rFonts w:hint="eastAsia" w:ascii="仿宋_GB2312" w:hAnsi="楷体" w:eastAsia="仿宋_GB2312"/>
          <w:b w:val="0"/>
          <w:spacing w:val="-4"/>
          <w:sz w:val="28"/>
          <w:szCs w:val="28"/>
        </w:rPr>
        <w:t>的主要原因是</w:t>
      </w:r>
      <w:r>
        <w:rPr>
          <w:rStyle w:val="18"/>
          <w:rFonts w:hint="eastAsia" w:ascii="仿宋_GB2312" w:hAnsi="楷体" w:eastAsia="仿宋_GB2312"/>
          <w:b w:val="0"/>
          <w:spacing w:val="-4"/>
          <w:sz w:val="28"/>
          <w:szCs w:val="28"/>
          <w:lang w:val="en-US" w:eastAsia="zh-CN"/>
        </w:rPr>
        <w:t>本年度项目减少。</w:t>
      </w:r>
      <w:r>
        <w:rPr>
          <w:rStyle w:val="18"/>
          <w:rFonts w:hint="eastAsia" w:ascii="仿宋_GB2312" w:hAnsi="楷体" w:eastAsia="仿宋_GB2312"/>
          <w:b w:val="0"/>
          <w:spacing w:val="-4"/>
          <w:sz w:val="28"/>
          <w:szCs w:val="28"/>
          <w:highlight w:val="none"/>
        </w:rPr>
        <w:t>其中：</w:t>
      </w:r>
      <w:r>
        <w:rPr>
          <w:rStyle w:val="18"/>
          <w:rFonts w:hint="eastAsia" w:ascii="仿宋_GB2312" w:hAnsi="楷体" w:eastAsia="仿宋_GB2312"/>
          <w:b w:val="0"/>
          <w:spacing w:val="-4"/>
          <w:sz w:val="28"/>
          <w:szCs w:val="28"/>
          <w:highlight w:val="none"/>
          <w:lang w:eastAsia="zh-CN"/>
        </w:rPr>
        <w:t>霍斯托别村绿化建设项目，体育器材</w:t>
      </w:r>
      <w:r>
        <w:rPr>
          <w:rStyle w:val="18"/>
          <w:rFonts w:hint="eastAsia" w:ascii="仿宋_GB2312" w:hAnsi="楷体" w:eastAsia="仿宋_GB2312"/>
          <w:b w:val="0"/>
          <w:spacing w:val="-4"/>
          <w:sz w:val="28"/>
          <w:szCs w:val="28"/>
          <w:highlight w:val="none"/>
        </w:rPr>
        <w:t>项目安排</w:t>
      </w:r>
      <w:r>
        <w:rPr>
          <w:rStyle w:val="18"/>
          <w:rFonts w:ascii="仿宋_GB2312" w:hAnsi="楷体" w:eastAsia="仿宋_GB2312"/>
          <w:b w:val="0"/>
          <w:spacing w:val="-4"/>
          <w:sz w:val="28"/>
          <w:szCs w:val="28"/>
          <w:highlight w:val="none"/>
        </w:rPr>
        <w:t xml:space="preserve">  </w:t>
      </w:r>
      <w:r>
        <w:rPr>
          <w:rStyle w:val="18"/>
          <w:rFonts w:hint="eastAsia" w:ascii="仿宋_GB2312" w:hAnsi="楷体" w:eastAsia="仿宋_GB2312"/>
          <w:b w:val="0"/>
          <w:spacing w:val="-4"/>
          <w:sz w:val="28"/>
          <w:szCs w:val="28"/>
          <w:highlight w:val="none"/>
          <w:lang w:val="en-US" w:eastAsia="zh-CN"/>
        </w:rPr>
        <w:t>20</w:t>
      </w:r>
      <w:r>
        <w:rPr>
          <w:rStyle w:val="18"/>
          <w:rFonts w:hint="eastAsia" w:ascii="仿宋_GB2312" w:hAnsi="楷体" w:eastAsia="仿宋_GB2312"/>
          <w:b w:val="0"/>
          <w:spacing w:val="-4"/>
          <w:sz w:val="28"/>
          <w:szCs w:val="28"/>
          <w:highlight w:val="none"/>
        </w:rPr>
        <w:t>万元，主要用于</w:t>
      </w:r>
      <w:r>
        <w:rPr>
          <w:rStyle w:val="18"/>
          <w:rFonts w:hint="eastAsia" w:ascii="仿宋_GB2312" w:hAnsi="楷体" w:eastAsia="仿宋_GB2312"/>
          <w:b w:val="0"/>
          <w:spacing w:val="-4"/>
          <w:sz w:val="28"/>
          <w:szCs w:val="28"/>
          <w:highlight w:val="none"/>
          <w:lang w:eastAsia="zh-CN"/>
        </w:rPr>
        <w:t>维修体育场地建设</w:t>
      </w:r>
      <w:r>
        <w:rPr>
          <w:rStyle w:val="18"/>
          <w:rFonts w:hint="eastAsia" w:ascii="仿宋_GB2312" w:hAnsi="楷体" w:eastAsia="仿宋_GB2312"/>
          <w:b w:val="0"/>
          <w:spacing w:val="-4"/>
          <w:sz w:val="28"/>
          <w:szCs w:val="28"/>
          <w:highlight w:val="none"/>
          <w:lang w:val="en-US" w:eastAsia="zh-CN"/>
        </w:rPr>
        <w:t>1个，购置体育实施建设与设备4个，</w:t>
      </w:r>
      <w:r>
        <w:rPr>
          <w:rStyle w:val="18"/>
          <w:rFonts w:hint="eastAsia" w:ascii="仿宋_GB2312" w:hAnsi="楷体" w:eastAsia="仿宋_GB2312"/>
          <w:b w:val="0"/>
          <w:spacing w:val="-4"/>
          <w:sz w:val="28"/>
          <w:szCs w:val="28"/>
          <w:highlight w:val="none"/>
        </w:rPr>
        <w:t>完成</w:t>
      </w:r>
      <w:r>
        <w:rPr>
          <w:rStyle w:val="18"/>
          <w:rFonts w:hint="eastAsia" w:ascii="仿宋_GB2312" w:hAnsi="楷体" w:eastAsia="仿宋_GB2312"/>
          <w:b w:val="0"/>
          <w:spacing w:val="-4"/>
          <w:sz w:val="28"/>
          <w:szCs w:val="28"/>
          <w:highlight w:val="none"/>
          <w:lang w:val="en-US" w:eastAsia="zh-CN"/>
        </w:rPr>
        <w:t>100%.</w:t>
      </w:r>
    </w:p>
    <w:p>
      <w:pPr>
        <w:pStyle w:val="7"/>
        <w:spacing w:line="360" w:lineRule="auto"/>
        <w:ind w:firstLine="562" w:firstLineChars="200"/>
        <w:rPr>
          <w:rStyle w:val="18"/>
          <w:rFonts w:ascii="仿宋" w:hAnsi="仿宋" w:eastAsia="仿宋"/>
          <w:b/>
          <w:bCs/>
        </w:rPr>
      </w:pPr>
      <w:bookmarkStart w:id="18" w:name="_Toc70450305"/>
      <w:r>
        <w:rPr>
          <w:rStyle w:val="18"/>
          <w:rFonts w:hint="eastAsia" w:ascii="仿宋" w:hAnsi="仿宋" w:eastAsia="仿宋"/>
          <w:b/>
          <w:bCs/>
        </w:rPr>
        <w:t>3、专项资金管理情况</w:t>
      </w:r>
      <w:bookmarkEnd w:id="18"/>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为规范专项资金使用，提高专项资金使用效益，我</w:t>
      </w:r>
      <w:r>
        <w:rPr>
          <w:rStyle w:val="18"/>
          <w:rFonts w:hint="eastAsia" w:ascii="仿宋_GB2312" w:hAnsi="楷体" w:eastAsia="仿宋_GB2312"/>
          <w:b w:val="0"/>
          <w:color w:val="auto"/>
          <w:spacing w:val="-4"/>
          <w:sz w:val="28"/>
          <w:szCs w:val="28"/>
        </w:rPr>
        <w:t>单位</w:t>
      </w:r>
      <w:r>
        <w:rPr>
          <w:rStyle w:val="18"/>
          <w:rFonts w:hint="eastAsia" w:ascii="仿宋_GB2312" w:hAnsi="楷体" w:eastAsia="仿宋_GB2312"/>
          <w:b w:val="0"/>
          <w:spacing w:val="-4"/>
          <w:sz w:val="28"/>
          <w:szCs w:val="28"/>
        </w:rPr>
        <w:t>主要采取四项措施。</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（1）制定了《</w:t>
      </w:r>
      <w:r>
        <w:rPr>
          <w:rStyle w:val="18"/>
          <w:rFonts w:hint="eastAsia" w:ascii="仿宋_GB2312" w:hAnsi="楷体" w:eastAsia="仿宋_GB2312"/>
          <w:b w:val="0"/>
          <w:spacing w:val="-4"/>
          <w:sz w:val="28"/>
          <w:szCs w:val="28"/>
          <w:lang w:val="en-US" w:eastAsia="zh-CN"/>
        </w:rPr>
        <w:t>阔克铁热克乡</w:t>
      </w:r>
      <w:r>
        <w:rPr>
          <w:rStyle w:val="18"/>
          <w:rFonts w:hint="eastAsia" w:ascii="仿宋_GB2312" w:hAnsi="楷体" w:eastAsia="仿宋_GB2312"/>
          <w:b w:val="0"/>
          <w:spacing w:val="-4"/>
          <w:sz w:val="28"/>
          <w:szCs w:val="28"/>
          <w:lang w:eastAsia="zh-CN"/>
        </w:rPr>
        <w:t>工程建设管理制度</w:t>
      </w:r>
      <w:r>
        <w:rPr>
          <w:rStyle w:val="18"/>
          <w:rFonts w:hint="eastAsia" w:ascii="仿宋_GB2312" w:hAnsi="楷体" w:eastAsia="仿宋_GB2312"/>
          <w:b w:val="0"/>
          <w:spacing w:val="-4"/>
          <w:sz w:val="28"/>
          <w:szCs w:val="28"/>
        </w:rPr>
        <w:t>》，《</w:t>
      </w:r>
      <w:r>
        <w:rPr>
          <w:rStyle w:val="18"/>
          <w:rFonts w:hint="eastAsia" w:ascii="仿宋_GB2312" w:hAnsi="楷体" w:eastAsia="仿宋_GB2312"/>
          <w:b w:val="0"/>
          <w:spacing w:val="-4"/>
          <w:sz w:val="28"/>
          <w:szCs w:val="28"/>
          <w:lang w:val="en-US" w:eastAsia="zh-CN"/>
        </w:rPr>
        <w:t>阔克铁热克乡</w:t>
      </w:r>
      <w:r>
        <w:rPr>
          <w:rStyle w:val="18"/>
          <w:rFonts w:hint="eastAsia" w:ascii="仿宋_GB2312" w:hAnsi="楷体" w:eastAsia="仿宋_GB2312"/>
          <w:b w:val="0"/>
          <w:spacing w:val="-4"/>
          <w:sz w:val="28"/>
          <w:szCs w:val="28"/>
          <w:lang w:eastAsia="zh-CN"/>
        </w:rPr>
        <w:t>收入支出财务制度</w:t>
      </w:r>
      <w:r>
        <w:rPr>
          <w:rStyle w:val="18"/>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w:t>
      </w:r>
      <w:r>
        <w:rPr>
          <w:rStyle w:val="18"/>
          <w:rFonts w:ascii="仿宋_GB2312" w:hAnsi="楷体" w:eastAsia="仿宋_GB2312"/>
          <w:b w:val="0"/>
          <w:spacing w:val="-4"/>
          <w:sz w:val="28"/>
          <w:szCs w:val="28"/>
        </w:rPr>
        <w:t>2</w:t>
      </w:r>
      <w:r>
        <w:rPr>
          <w:rStyle w:val="18"/>
          <w:rFonts w:hint="eastAsia" w:ascii="仿宋_GB2312" w:hAnsi="楷体" w:eastAsia="仿宋_GB2312"/>
          <w:b w:val="0"/>
          <w:spacing w:val="-4"/>
          <w:sz w:val="28"/>
          <w:szCs w:val="28"/>
        </w:rPr>
        <w:t>）建立</w:t>
      </w:r>
      <w:r>
        <w:rPr>
          <w:rStyle w:val="18"/>
          <w:rFonts w:hint="eastAsia" w:ascii="仿宋_GB2312" w:hAnsi="楷体" w:eastAsia="仿宋_GB2312"/>
          <w:b w:val="0"/>
          <w:spacing w:val="-4"/>
          <w:sz w:val="28"/>
          <w:szCs w:val="28"/>
          <w:lang w:val="en-US" w:eastAsia="zh-CN"/>
        </w:rPr>
        <w:t>阔克铁热克乡</w:t>
      </w:r>
      <w:r>
        <w:rPr>
          <w:rStyle w:val="18"/>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（3）制订了</w:t>
      </w:r>
      <w:r>
        <w:rPr>
          <w:rStyle w:val="18"/>
          <w:rFonts w:hint="eastAsia" w:ascii="仿宋_GB2312" w:hAnsi="楷体" w:eastAsia="仿宋_GB2312"/>
          <w:b w:val="0"/>
          <w:spacing w:val="-4"/>
          <w:sz w:val="28"/>
          <w:szCs w:val="28"/>
          <w:lang w:val="en-US" w:eastAsia="zh-CN"/>
        </w:rPr>
        <w:t>阔克铁热克乡</w:t>
      </w:r>
      <w:r>
        <w:rPr>
          <w:rStyle w:val="18"/>
          <w:rFonts w:hint="eastAsia" w:ascii="仿宋_GB2312" w:hAnsi="楷体" w:eastAsia="仿宋_GB2312"/>
          <w:b w:val="0"/>
          <w:spacing w:val="-4"/>
          <w:sz w:val="28"/>
          <w:szCs w:val="28"/>
        </w:rPr>
        <w:t>项目实施方案，确保项目</w:t>
      </w:r>
      <w:r>
        <w:rPr>
          <w:rStyle w:val="18"/>
          <w:rFonts w:hint="eastAsia" w:ascii="仿宋_GB2312" w:hAnsi="楷体" w:eastAsia="仿宋_GB2312"/>
          <w:b w:val="0"/>
          <w:spacing w:val="-4"/>
          <w:sz w:val="28"/>
          <w:szCs w:val="28"/>
          <w:lang w:eastAsia="zh-CN"/>
        </w:rPr>
        <w:t>有效实施</w:t>
      </w:r>
      <w:r>
        <w:rPr>
          <w:rStyle w:val="18"/>
          <w:rFonts w:hint="eastAsia" w:ascii="仿宋_GB2312" w:hAnsi="楷体" w:eastAsia="仿宋_GB2312"/>
          <w:b w:val="0"/>
          <w:spacing w:val="-4"/>
          <w:sz w:val="28"/>
          <w:szCs w:val="28"/>
        </w:rPr>
        <w:t>。</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（4）认真组织</w:t>
      </w:r>
      <w:r>
        <w:rPr>
          <w:rStyle w:val="18"/>
          <w:rFonts w:hint="eastAsia" w:ascii="仿宋_GB2312" w:hAnsi="楷体" w:eastAsia="仿宋_GB2312"/>
          <w:b w:val="0"/>
          <w:spacing w:val="-4"/>
          <w:sz w:val="28"/>
          <w:szCs w:val="28"/>
          <w:lang w:val="en-US" w:eastAsia="zh-CN"/>
        </w:rPr>
        <w:t>阔克铁热克乡</w:t>
      </w:r>
      <w:r>
        <w:rPr>
          <w:rStyle w:val="18"/>
          <w:rFonts w:hint="eastAsia" w:ascii="仿宋_GB2312" w:hAnsi="楷体" w:eastAsia="仿宋_GB2312"/>
          <w:b w:val="0"/>
          <w:spacing w:val="-4"/>
          <w:sz w:val="28"/>
          <w:szCs w:val="28"/>
        </w:rPr>
        <w:t>项目验收，确保</w:t>
      </w:r>
      <w:r>
        <w:rPr>
          <w:rStyle w:val="18"/>
          <w:rFonts w:hint="eastAsia" w:ascii="仿宋_GB2312" w:hAnsi="楷体" w:eastAsia="仿宋_GB2312"/>
          <w:b w:val="0"/>
          <w:spacing w:val="-4"/>
          <w:sz w:val="28"/>
          <w:szCs w:val="28"/>
          <w:lang w:eastAsia="zh-CN"/>
        </w:rPr>
        <w:t>顺利落实</w:t>
      </w:r>
      <w:r>
        <w:rPr>
          <w:rStyle w:val="18"/>
          <w:rFonts w:hint="eastAsia" w:ascii="仿宋_GB2312" w:hAnsi="楷体" w:eastAsia="仿宋_GB2312"/>
          <w:b w:val="0"/>
          <w:spacing w:val="-4"/>
          <w:sz w:val="28"/>
          <w:szCs w:val="28"/>
        </w:rPr>
        <w:t>。</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专项资金涉及政府采购项目的，按照局《</w:t>
      </w:r>
      <w:r>
        <w:rPr>
          <w:rFonts w:hint="eastAsia" w:ascii="仿宋_GB2312" w:eastAsia="仿宋_GB2312"/>
          <w:sz w:val="28"/>
          <w:szCs w:val="36"/>
          <w:lang w:eastAsia="zh-CN"/>
        </w:rPr>
        <w:t>新疆维吾尔自治区</w:t>
      </w:r>
      <w:r>
        <w:rPr>
          <w:rFonts w:hint="eastAsia" w:ascii="仿宋_GB2312" w:eastAsia="仿宋_GB2312"/>
          <w:sz w:val="28"/>
          <w:szCs w:val="36"/>
          <w:lang w:val="en-US" w:eastAsia="zh-CN"/>
        </w:rPr>
        <w:t>2021-2022年度政府采购集中采购目录及标准</w:t>
      </w:r>
      <w:r>
        <w:rPr>
          <w:rStyle w:val="18"/>
          <w:rFonts w:hint="eastAsia" w:ascii="仿宋_GB2312" w:hAnsi="楷体" w:eastAsia="仿宋_GB2312"/>
          <w:b w:val="0"/>
          <w:spacing w:val="-4"/>
          <w:sz w:val="28"/>
          <w:szCs w:val="28"/>
        </w:rPr>
        <w:t>》组织人员制定采购计划，按照财政局采购部门批复，进行公开招标、邀请招标等方式进行。</w:t>
      </w:r>
    </w:p>
    <w:p>
      <w:pPr>
        <w:spacing w:line="360" w:lineRule="auto"/>
        <w:ind w:firstLine="492" w:firstLineChars="181"/>
        <w:rPr>
          <w:rStyle w:val="18"/>
          <w:rFonts w:ascii="仿宋_GB2312" w:hAnsi="楷体" w:eastAsia="仿宋_GB2312"/>
          <w:b w:val="0"/>
          <w:spacing w:val="-4"/>
          <w:sz w:val="28"/>
          <w:szCs w:val="28"/>
        </w:rPr>
      </w:pPr>
    </w:p>
    <w:p>
      <w:pPr>
        <w:pStyle w:val="5"/>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7"/>
        <w:numPr>
          <w:ilvl w:val="0"/>
          <w:numId w:val="3"/>
        </w:numPr>
        <w:spacing w:line="360" w:lineRule="auto"/>
        <w:rPr>
          <w:rStyle w:val="18"/>
          <w:rFonts w:ascii="仿宋" w:hAnsi="仿宋" w:eastAsia="仿宋"/>
          <w:b/>
          <w:bCs/>
        </w:rPr>
      </w:pPr>
      <w:bookmarkStart w:id="20" w:name="_Toc70450308"/>
      <w:r>
        <w:rPr>
          <w:rStyle w:val="18"/>
          <w:rFonts w:hint="eastAsia" w:ascii="仿宋" w:hAnsi="仿宋" w:eastAsia="仿宋"/>
          <w:b/>
          <w:bCs/>
        </w:rPr>
        <w:t>专项组织情况分析</w:t>
      </w:r>
      <w:bookmarkEnd w:id="20"/>
    </w:p>
    <w:p>
      <w:pPr>
        <w:snapToGrid w:val="0"/>
        <w:spacing w:line="360" w:lineRule="auto"/>
        <w:ind w:firstLine="544" w:firstLineChars="200"/>
        <w:rPr>
          <w:rStyle w:val="18"/>
          <w:rFonts w:ascii="仿宋_GB2312" w:hAnsi="楷体" w:eastAsia="仿宋_GB2312"/>
          <w:b w:val="0"/>
          <w:bCs w:val="0"/>
          <w:color w:val="FF0000"/>
          <w:spacing w:val="-4"/>
          <w:sz w:val="28"/>
          <w:szCs w:val="28"/>
        </w:rPr>
      </w:pPr>
      <w:r>
        <w:rPr>
          <w:rStyle w:val="18"/>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8"/>
          <w:rFonts w:ascii="仿宋_GB2312" w:hAnsi="楷体" w:eastAsia="仿宋_GB2312"/>
          <w:b w:val="0"/>
          <w:bCs w:val="0"/>
          <w:color w:val="FF0000"/>
          <w:spacing w:val="-4"/>
          <w:sz w:val="28"/>
          <w:szCs w:val="28"/>
        </w:rPr>
      </w:pPr>
      <w:r>
        <w:rPr>
          <w:rStyle w:val="18"/>
          <w:rFonts w:hint="eastAsia" w:ascii="仿宋_GB2312" w:hAnsi="楷体" w:eastAsia="仿宋_GB2312"/>
          <w:b w:val="0"/>
          <w:bCs w:val="0"/>
          <w:color w:val="000000" w:themeColor="text1"/>
          <w:spacing w:val="-4"/>
          <w:sz w:val="28"/>
          <w:szCs w:val="28"/>
          <w14:textFill>
            <w14:solidFill>
              <w14:schemeClr w14:val="tx1"/>
            </w14:solidFill>
          </w14:textFill>
        </w:rPr>
        <w:t>年初我单位下发的</w:t>
      </w:r>
      <w:r>
        <w:rPr>
          <w:rStyle w:val="18"/>
          <w:rFonts w:hint="eastAsia" w:ascii="仿宋_GB2312" w:hAnsi="楷体" w:eastAsia="仿宋_GB2312"/>
          <w:b w:val="0"/>
          <w:bCs w:val="0"/>
          <w:color w:val="000000" w:themeColor="text1"/>
          <w:spacing w:val="-4"/>
          <w:sz w:val="28"/>
          <w:szCs w:val="28"/>
          <w:lang w:val="en-US" w:eastAsia="zh-CN"/>
          <w14:textFill>
            <w14:solidFill>
              <w14:schemeClr w14:val="tx1"/>
            </w14:solidFill>
          </w14:textFill>
        </w:rPr>
        <w:t>特克斯县阔克铁热克乡</w:t>
      </w:r>
      <w:r>
        <w:rPr>
          <w:rStyle w:val="18"/>
          <w:rFonts w:hint="eastAsia" w:ascii="仿宋_GB2312" w:hAnsi="楷体" w:eastAsia="仿宋_GB2312"/>
          <w:b w:val="0"/>
          <w:bCs w:val="0"/>
          <w:color w:val="000000" w:themeColor="text1"/>
          <w:spacing w:val="-4"/>
          <w:sz w:val="28"/>
          <w:szCs w:val="28"/>
          <w14:textFill>
            <w14:solidFill>
              <w14:schemeClr w14:val="tx1"/>
            </w14:solidFill>
          </w14:textFill>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8"/>
          <w:rFonts w:ascii="仿宋_GB2312" w:hAnsi="楷体" w:eastAsia="仿宋_GB2312"/>
          <w:b w:val="0"/>
          <w:bCs w:val="0"/>
          <w:color w:val="000000" w:themeColor="text1"/>
          <w:spacing w:val="-4"/>
          <w:sz w:val="28"/>
          <w:szCs w:val="28"/>
          <w14:textFill>
            <w14:solidFill>
              <w14:schemeClr w14:val="tx1"/>
            </w14:solidFill>
          </w14:textFill>
        </w:rPr>
        <w:t>1</w:t>
      </w:r>
      <w:r>
        <w:rPr>
          <w:rStyle w:val="18"/>
          <w:rFonts w:hint="eastAsia" w:ascii="仿宋_GB2312" w:hAnsi="楷体" w:eastAsia="仿宋_GB2312"/>
          <w:b w:val="0"/>
          <w:bCs w:val="0"/>
          <w:color w:val="000000" w:themeColor="text1"/>
          <w:spacing w:val="-4"/>
          <w:sz w:val="28"/>
          <w:szCs w:val="28"/>
          <w14:textFill>
            <w14:solidFill>
              <w14:schemeClr w14:val="tx1"/>
            </w14:solidFill>
          </w14:textFill>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8"/>
          <w:rFonts w:hint="eastAsia" w:ascii="仿宋_GB2312" w:hAnsi="楷体" w:eastAsia="仿宋_GB2312"/>
          <w:b w:val="0"/>
          <w:bCs w:val="0"/>
          <w:color w:val="000000" w:themeColor="text1"/>
          <w:spacing w:val="-4"/>
          <w:sz w:val="28"/>
          <w:szCs w:val="28"/>
          <w14:textFill>
            <w14:solidFill>
              <w14:schemeClr w14:val="tx1"/>
            </w14:solidFill>
          </w14:textFill>
        </w:rPr>
      </w:pPr>
      <w:r>
        <w:rPr>
          <w:rStyle w:val="18"/>
          <w:rFonts w:hint="eastAsia" w:ascii="仿宋_GB2312" w:hAnsi="楷体" w:eastAsia="仿宋_GB2312"/>
          <w:b w:val="0"/>
          <w:bCs w:val="0"/>
          <w:color w:val="000000" w:themeColor="text1"/>
          <w:spacing w:val="-4"/>
          <w:sz w:val="28"/>
          <w:szCs w:val="28"/>
          <w14:textFill>
            <w14:solidFill>
              <w14:schemeClr w14:val="tx1"/>
            </w14:solidFill>
          </w14:textFill>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8"/>
          <w:rFonts w:hint="eastAsia" w:ascii="仿宋_GB2312" w:hAnsi="楷体" w:eastAsia="仿宋_GB2312"/>
          <w:b w:val="0"/>
          <w:bCs w:val="0"/>
          <w:color w:val="000000" w:themeColor="text1"/>
          <w:spacing w:val="-4"/>
          <w:sz w:val="28"/>
          <w:szCs w:val="28"/>
          <w14:textFill>
            <w14:solidFill>
              <w14:schemeClr w14:val="tx1"/>
            </w14:solidFill>
          </w14:textFill>
        </w:rPr>
      </w:pPr>
      <w:r>
        <w:rPr>
          <w:rStyle w:val="18"/>
          <w:rFonts w:hint="eastAsia" w:ascii="仿宋_GB2312" w:hAnsi="楷体" w:eastAsia="仿宋_GB2312"/>
          <w:b w:val="0"/>
          <w:bCs w:val="0"/>
          <w:color w:val="000000" w:themeColor="text1"/>
          <w:spacing w:val="-4"/>
          <w:sz w:val="28"/>
          <w:szCs w:val="28"/>
          <w14:textFill>
            <w14:solidFill>
              <w14:schemeClr w14:val="tx1"/>
            </w14:solidFill>
          </w14:textFill>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8"/>
          <w:rFonts w:ascii="仿宋_GB2312" w:hAnsi="楷体" w:eastAsia="仿宋_GB2312"/>
          <w:b w:val="0"/>
          <w:bCs w:val="0"/>
          <w:color w:val="000000" w:themeColor="text1"/>
          <w:spacing w:val="-4"/>
          <w:sz w:val="28"/>
          <w:szCs w:val="28"/>
          <w14:textFill>
            <w14:solidFill>
              <w14:schemeClr w14:val="tx1"/>
            </w14:solidFill>
          </w14:textFill>
        </w:rPr>
      </w:pPr>
      <w:r>
        <w:rPr>
          <w:rStyle w:val="18"/>
          <w:rFonts w:hint="eastAsia" w:ascii="仿宋_GB2312" w:hAnsi="楷体" w:eastAsia="仿宋_GB2312"/>
          <w:b w:val="0"/>
          <w:bCs w:val="0"/>
          <w:color w:val="000000" w:themeColor="text1"/>
          <w:spacing w:val="-4"/>
          <w:sz w:val="28"/>
          <w:szCs w:val="28"/>
          <w14:textFill>
            <w14:solidFill>
              <w14:schemeClr w14:val="tx1"/>
            </w14:solidFill>
          </w14:textFill>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8"/>
          <w:rFonts w:hint="eastAsia" w:ascii="宋体" w:hAnsi="宋体" w:eastAsia="宋体"/>
          <w:color w:val="FF0000"/>
          <w:spacing w:val="-4"/>
          <w:sz w:val="28"/>
          <w:szCs w:val="28"/>
        </w:rPr>
      </w:pPr>
      <w:r>
        <w:rPr>
          <w:rStyle w:val="18"/>
          <w:rFonts w:hint="eastAsia" w:ascii="仿宋_GB2312" w:hAnsi="楷体" w:eastAsia="仿宋_GB2312"/>
          <w:b w:val="0"/>
          <w:bCs w:val="0"/>
          <w:spacing w:val="-4"/>
          <w:sz w:val="28"/>
          <w:szCs w:val="28"/>
        </w:rPr>
        <w:t>截止12月</w:t>
      </w:r>
      <w:r>
        <w:rPr>
          <w:rStyle w:val="18"/>
          <w:rFonts w:hint="eastAsia" w:ascii="仿宋_GB2312" w:hAnsi="楷体" w:eastAsia="仿宋_GB2312"/>
          <w:b w:val="0"/>
          <w:bCs w:val="0"/>
          <w:spacing w:val="-4"/>
          <w:sz w:val="28"/>
          <w:szCs w:val="28"/>
          <w:lang w:val="en-US" w:eastAsia="zh-CN"/>
        </w:rPr>
        <w:t>31</w:t>
      </w:r>
      <w:r>
        <w:rPr>
          <w:rStyle w:val="18"/>
          <w:rFonts w:hint="eastAsia" w:ascii="仿宋_GB2312" w:hAnsi="楷体" w:eastAsia="仿宋_GB2312"/>
          <w:b w:val="0"/>
          <w:bCs w:val="0"/>
          <w:spacing w:val="-4"/>
          <w:sz w:val="28"/>
          <w:szCs w:val="28"/>
        </w:rPr>
        <w:t>日，该专项均按照时间计划保质、保量完成。</w:t>
      </w:r>
    </w:p>
    <w:p>
      <w:pPr>
        <w:pStyle w:val="7"/>
        <w:numPr>
          <w:ilvl w:val="0"/>
          <w:numId w:val="3"/>
        </w:numPr>
        <w:spacing w:line="360" w:lineRule="auto"/>
        <w:rPr>
          <w:rStyle w:val="18"/>
          <w:rFonts w:ascii="仿宋" w:hAnsi="仿宋" w:eastAsia="仿宋"/>
          <w:b/>
          <w:bCs/>
        </w:rPr>
      </w:pPr>
      <w:bookmarkStart w:id="21" w:name="_Toc70450309"/>
      <w:r>
        <w:rPr>
          <w:rStyle w:val="18"/>
          <w:rFonts w:hint="eastAsia" w:ascii="仿宋" w:hAnsi="仿宋" w:eastAsia="仿宋"/>
          <w:b/>
          <w:bCs/>
        </w:rPr>
        <w:t>专项管理情况分析</w:t>
      </w:r>
      <w:bookmarkEnd w:id="21"/>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1、资金到位及使用情况</w:t>
      </w:r>
    </w:p>
    <w:p>
      <w:pPr>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楷体" w:eastAsia="仿宋_GB2312"/>
          <w:b w:val="0"/>
          <w:spacing w:val="-4"/>
          <w:sz w:val="28"/>
          <w:szCs w:val="28"/>
        </w:rPr>
        <w:t>2</w:t>
      </w:r>
      <w:r>
        <w:rPr>
          <w:rStyle w:val="18"/>
          <w:rFonts w:ascii="仿宋_GB2312" w:hAnsi="楷体" w:eastAsia="仿宋_GB2312"/>
          <w:b w:val="0"/>
          <w:spacing w:val="-4"/>
          <w:sz w:val="28"/>
          <w:szCs w:val="28"/>
        </w:rPr>
        <w:t>021</w:t>
      </w:r>
      <w:r>
        <w:rPr>
          <w:rStyle w:val="18"/>
          <w:rFonts w:hint="eastAsia" w:ascii="仿宋_GB2312" w:hAnsi="楷体" w:eastAsia="仿宋_GB2312"/>
          <w:b w:val="0"/>
          <w:spacing w:val="-4"/>
          <w:sz w:val="28"/>
          <w:szCs w:val="28"/>
        </w:rPr>
        <w:t>年涉及专项资金</w:t>
      </w:r>
      <w:r>
        <w:rPr>
          <w:rStyle w:val="18"/>
          <w:rFonts w:hint="eastAsia" w:ascii="仿宋_GB2312" w:hAnsi="楷体" w:eastAsia="仿宋_GB2312"/>
          <w:b w:val="0"/>
          <w:spacing w:val="-4"/>
          <w:sz w:val="28"/>
          <w:szCs w:val="28"/>
          <w:lang w:val="en-US" w:eastAsia="zh-CN"/>
        </w:rPr>
        <w:t>20.00</w:t>
      </w:r>
      <w:r>
        <w:rPr>
          <w:rStyle w:val="18"/>
          <w:rFonts w:hint="eastAsia" w:ascii="仿宋_GB2312" w:hAnsi="楷体" w:eastAsia="仿宋_GB2312"/>
          <w:b w:val="0"/>
          <w:spacing w:val="-4"/>
          <w:sz w:val="28"/>
          <w:szCs w:val="28"/>
        </w:rPr>
        <w:t>万元，实际到位</w:t>
      </w:r>
      <w:r>
        <w:rPr>
          <w:rStyle w:val="18"/>
          <w:rFonts w:hint="eastAsia" w:ascii="仿宋_GB2312" w:hAnsi="楷体" w:eastAsia="仿宋_GB2312"/>
          <w:b w:val="0"/>
          <w:spacing w:val="-4"/>
          <w:sz w:val="28"/>
          <w:szCs w:val="28"/>
          <w:lang w:val="en-US" w:eastAsia="zh-CN"/>
        </w:rPr>
        <w:t>20.00</w:t>
      </w:r>
      <w:r>
        <w:rPr>
          <w:rStyle w:val="18"/>
          <w:rFonts w:hint="eastAsia" w:ascii="仿宋_GB2312" w:hAnsi="楷体" w:eastAsia="仿宋_GB2312"/>
          <w:b w:val="0"/>
          <w:spacing w:val="-4"/>
          <w:sz w:val="28"/>
          <w:szCs w:val="28"/>
        </w:rPr>
        <w:t>万元，资金到位率</w:t>
      </w:r>
      <w:r>
        <w:rPr>
          <w:rStyle w:val="18"/>
          <w:rFonts w:hint="eastAsia" w:ascii="仿宋_GB2312" w:hAnsi="楷体" w:eastAsia="仿宋_GB2312"/>
          <w:b w:val="0"/>
          <w:spacing w:val="-4"/>
          <w:sz w:val="28"/>
          <w:szCs w:val="28"/>
          <w:lang w:val="en-US" w:eastAsia="zh-CN"/>
        </w:rPr>
        <w:t>100</w:t>
      </w:r>
      <w:r>
        <w:rPr>
          <w:rStyle w:val="18"/>
          <w:rFonts w:hint="eastAsia" w:ascii="仿宋_GB2312" w:hAnsi="楷体" w:eastAsia="仿宋_GB2312"/>
          <w:b w:val="0"/>
          <w:spacing w:val="-4"/>
          <w:sz w:val="28"/>
          <w:szCs w:val="28"/>
        </w:rPr>
        <w:t>%。截止到</w:t>
      </w: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年1</w:t>
      </w:r>
      <w:r>
        <w:rPr>
          <w:rStyle w:val="18"/>
          <w:rFonts w:ascii="仿宋_GB2312" w:hAnsi="楷体" w:eastAsia="仿宋_GB2312"/>
          <w:b w:val="0"/>
          <w:spacing w:val="-4"/>
          <w:sz w:val="28"/>
          <w:szCs w:val="28"/>
        </w:rPr>
        <w:t>2</w:t>
      </w:r>
      <w:r>
        <w:rPr>
          <w:rStyle w:val="18"/>
          <w:rFonts w:hint="eastAsia" w:ascii="仿宋_GB2312" w:hAnsi="楷体" w:eastAsia="仿宋_GB2312"/>
          <w:b w:val="0"/>
          <w:spacing w:val="-4"/>
          <w:sz w:val="28"/>
          <w:szCs w:val="28"/>
        </w:rPr>
        <w:t>月</w:t>
      </w:r>
      <w:r>
        <w:rPr>
          <w:rStyle w:val="18"/>
          <w:rFonts w:hint="eastAsia" w:ascii="仿宋_GB2312" w:hAnsi="楷体" w:eastAsia="仿宋_GB2312"/>
          <w:b w:val="0"/>
          <w:spacing w:val="-4"/>
          <w:sz w:val="28"/>
          <w:szCs w:val="28"/>
          <w:lang w:val="en-US" w:eastAsia="zh-CN"/>
        </w:rPr>
        <w:t>31</w:t>
      </w:r>
      <w:r>
        <w:rPr>
          <w:rStyle w:val="18"/>
          <w:rFonts w:hint="eastAsia" w:ascii="仿宋_GB2312" w:hAnsi="楷体" w:eastAsia="仿宋_GB2312"/>
          <w:b w:val="0"/>
          <w:spacing w:val="-4"/>
          <w:sz w:val="28"/>
          <w:szCs w:val="28"/>
        </w:rPr>
        <w:t xml:space="preserve"> 日执行</w:t>
      </w:r>
      <w:r>
        <w:rPr>
          <w:rStyle w:val="18"/>
          <w:rFonts w:hint="eastAsia" w:ascii="仿宋_GB2312" w:hAnsi="楷体" w:eastAsia="仿宋_GB2312"/>
          <w:b w:val="0"/>
          <w:spacing w:val="-4"/>
          <w:sz w:val="28"/>
          <w:szCs w:val="28"/>
          <w:lang w:val="en-US" w:eastAsia="zh-CN"/>
        </w:rPr>
        <w:t>20.00</w:t>
      </w:r>
      <w:r>
        <w:rPr>
          <w:rStyle w:val="18"/>
          <w:rFonts w:hint="eastAsia" w:ascii="仿宋_GB2312" w:hAnsi="楷体" w:eastAsia="仿宋_GB2312"/>
          <w:b w:val="0"/>
          <w:spacing w:val="-4"/>
          <w:sz w:val="28"/>
          <w:szCs w:val="28"/>
        </w:rPr>
        <w:t>万元，执行率</w:t>
      </w:r>
      <w:r>
        <w:rPr>
          <w:rStyle w:val="18"/>
          <w:rFonts w:hint="eastAsia" w:ascii="仿宋_GB2312" w:hAnsi="楷体" w:eastAsia="仿宋_GB2312"/>
          <w:b w:val="0"/>
          <w:spacing w:val="-4"/>
          <w:sz w:val="28"/>
          <w:szCs w:val="28"/>
          <w:lang w:val="en-US" w:eastAsia="zh-CN"/>
        </w:rPr>
        <w:t>100</w:t>
      </w:r>
      <w:r>
        <w:rPr>
          <w:rStyle w:val="18"/>
          <w:rFonts w:hint="eastAsia" w:ascii="仿宋_GB2312" w:hAnsi="楷体" w:eastAsia="仿宋_GB2312"/>
          <w:b w:val="0"/>
          <w:spacing w:val="-4"/>
          <w:sz w:val="28"/>
          <w:szCs w:val="28"/>
        </w:rPr>
        <w:t>%其中：20</w:t>
      </w:r>
      <w:r>
        <w:rPr>
          <w:rStyle w:val="18"/>
          <w:rFonts w:ascii="仿宋_GB2312" w:hAnsi="楷体" w:eastAsia="仿宋_GB2312"/>
          <w:b w:val="0"/>
          <w:spacing w:val="-4"/>
          <w:sz w:val="28"/>
          <w:szCs w:val="28"/>
        </w:rPr>
        <w:t>21</w:t>
      </w:r>
      <w:r>
        <w:rPr>
          <w:rStyle w:val="18"/>
          <w:rFonts w:hint="eastAsia" w:ascii="仿宋_GB2312" w:hAnsi="楷体" w:eastAsia="仿宋_GB2312"/>
          <w:b w:val="0"/>
          <w:spacing w:val="-4"/>
          <w:sz w:val="28"/>
          <w:szCs w:val="28"/>
        </w:rPr>
        <w:t>年结转专项资金</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万元，实际执行</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万元，执行率为</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%；202</w:t>
      </w:r>
      <w:r>
        <w:rPr>
          <w:rStyle w:val="18"/>
          <w:rFonts w:ascii="仿宋_GB2312" w:hAnsi="楷体" w:eastAsia="仿宋_GB2312"/>
          <w:b w:val="0"/>
          <w:spacing w:val="-4"/>
          <w:sz w:val="28"/>
          <w:szCs w:val="28"/>
        </w:rPr>
        <w:t>1</w:t>
      </w:r>
      <w:r>
        <w:rPr>
          <w:rStyle w:val="18"/>
          <w:rFonts w:hint="eastAsia" w:ascii="仿宋_GB2312" w:hAnsi="楷体" w:eastAsia="仿宋_GB2312"/>
          <w:b w:val="0"/>
          <w:spacing w:val="-4"/>
          <w:sz w:val="28"/>
          <w:szCs w:val="28"/>
        </w:rPr>
        <w:t>年新增专项资金</w:t>
      </w:r>
      <w:r>
        <w:rPr>
          <w:rStyle w:val="18"/>
          <w:rFonts w:hint="eastAsia" w:ascii="仿宋_GB2312" w:hAnsi="楷体" w:eastAsia="仿宋_GB2312"/>
          <w:b w:val="0"/>
          <w:spacing w:val="-4"/>
          <w:sz w:val="28"/>
          <w:szCs w:val="28"/>
          <w:lang w:val="en-US" w:eastAsia="zh-CN"/>
        </w:rPr>
        <w:t>20.00</w:t>
      </w:r>
      <w:r>
        <w:rPr>
          <w:rStyle w:val="18"/>
          <w:rFonts w:hint="eastAsia" w:ascii="仿宋_GB2312" w:hAnsi="楷体" w:eastAsia="仿宋_GB2312"/>
          <w:b w:val="0"/>
          <w:spacing w:val="-4"/>
          <w:sz w:val="28"/>
          <w:szCs w:val="28"/>
        </w:rPr>
        <w:t>万元，实际执行</w:t>
      </w:r>
      <w:r>
        <w:rPr>
          <w:rStyle w:val="18"/>
          <w:rFonts w:hint="eastAsia" w:ascii="仿宋_GB2312" w:hAnsi="楷体" w:eastAsia="仿宋_GB2312"/>
          <w:b w:val="0"/>
          <w:spacing w:val="-4"/>
          <w:sz w:val="28"/>
          <w:szCs w:val="28"/>
          <w:lang w:val="en-US" w:eastAsia="zh-CN"/>
        </w:rPr>
        <w:t>20.00</w:t>
      </w:r>
      <w:r>
        <w:rPr>
          <w:rStyle w:val="18"/>
          <w:rFonts w:hint="eastAsia" w:ascii="仿宋_GB2312" w:hAnsi="楷体" w:eastAsia="仿宋_GB2312"/>
          <w:b w:val="0"/>
          <w:spacing w:val="-4"/>
          <w:sz w:val="28"/>
          <w:szCs w:val="28"/>
        </w:rPr>
        <w:t>万元，执行率为</w:t>
      </w:r>
      <w:r>
        <w:rPr>
          <w:rStyle w:val="18"/>
          <w:rFonts w:hint="eastAsia" w:ascii="仿宋_GB2312" w:hAnsi="楷体" w:eastAsia="仿宋_GB2312"/>
          <w:b w:val="0"/>
          <w:spacing w:val="-4"/>
          <w:sz w:val="28"/>
          <w:szCs w:val="28"/>
          <w:lang w:val="en-US" w:eastAsia="zh-CN"/>
        </w:rPr>
        <w:t>100</w:t>
      </w:r>
      <w:r>
        <w:rPr>
          <w:rStyle w:val="18"/>
          <w:rFonts w:hint="eastAsia" w:ascii="仿宋_GB2312" w:hAnsi="楷体" w:eastAsia="仿宋_GB2312"/>
          <w:b w:val="0"/>
          <w:spacing w:val="-4"/>
          <w:sz w:val="28"/>
          <w:szCs w:val="28"/>
        </w:rPr>
        <w:t>%。</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2、资金管理情况</w:t>
      </w:r>
    </w:p>
    <w:p>
      <w:pPr>
        <w:spacing w:line="360" w:lineRule="auto"/>
        <w:ind w:firstLine="544" w:firstLineChars="200"/>
        <w:rPr>
          <w:rStyle w:val="18"/>
          <w:rFonts w:ascii="仿宋_GB2312" w:hAnsi="楷体" w:eastAsia="仿宋_GB2312"/>
          <w:b w:val="0"/>
          <w:color w:val="auto"/>
          <w:spacing w:val="-4"/>
          <w:sz w:val="28"/>
          <w:szCs w:val="28"/>
        </w:rPr>
      </w:pPr>
      <w:r>
        <w:rPr>
          <w:rStyle w:val="18"/>
          <w:rFonts w:hint="eastAsia" w:ascii="仿宋_GB2312" w:hAnsi="楷体" w:eastAsia="仿宋_GB2312"/>
          <w:b w:val="0"/>
          <w:color w:val="auto"/>
          <w:spacing w:val="-4"/>
          <w:sz w:val="28"/>
          <w:szCs w:val="28"/>
        </w:rPr>
        <w:t>我单位严格执行</w:t>
      </w:r>
      <w:r>
        <w:rPr>
          <w:rStyle w:val="18"/>
          <w:rFonts w:hint="eastAsia" w:ascii="仿宋_GB2312" w:hAnsi="楷体" w:eastAsia="仿宋_GB2312"/>
          <w:b w:val="0"/>
          <w:color w:val="auto"/>
          <w:spacing w:val="-4"/>
          <w:sz w:val="28"/>
          <w:szCs w:val="28"/>
          <w:lang w:val="en-US" w:eastAsia="zh-CN"/>
        </w:rPr>
        <w:t>阔政法</w:t>
      </w:r>
      <w:r>
        <w:rPr>
          <w:rStyle w:val="18"/>
          <w:rFonts w:hint="eastAsia" w:ascii="仿宋_GB2312" w:hAnsi="楷体" w:eastAsia="仿宋_GB2312"/>
          <w:b w:val="0"/>
          <w:color w:val="auto"/>
          <w:spacing w:val="-4"/>
          <w:sz w:val="28"/>
          <w:szCs w:val="28"/>
        </w:rPr>
        <w:t>【</w:t>
      </w:r>
      <w:r>
        <w:rPr>
          <w:rStyle w:val="18"/>
          <w:rFonts w:hint="eastAsia" w:ascii="仿宋_GB2312" w:hAnsi="楷体" w:eastAsia="仿宋_GB2312"/>
          <w:b w:val="0"/>
          <w:color w:val="auto"/>
          <w:spacing w:val="-4"/>
          <w:sz w:val="28"/>
          <w:szCs w:val="28"/>
          <w:lang w:val="en-US" w:eastAsia="zh-CN"/>
        </w:rPr>
        <w:t>2021</w:t>
      </w:r>
      <w:r>
        <w:rPr>
          <w:rStyle w:val="18"/>
          <w:rFonts w:hint="eastAsia" w:ascii="仿宋_GB2312" w:hAnsi="楷体" w:eastAsia="仿宋_GB2312"/>
          <w:b w:val="0"/>
          <w:color w:val="auto"/>
          <w:spacing w:val="-4"/>
          <w:sz w:val="28"/>
          <w:szCs w:val="28"/>
        </w:rPr>
        <w:t>】</w:t>
      </w:r>
      <w:r>
        <w:rPr>
          <w:rStyle w:val="18"/>
          <w:rFonts w:hint="eastAsia" w:ascii="仿宋_GB2312" w:hAnsi="楷体" w:eastAsia="仿宋_GB2312"/>
          <w:b w:val="0"/>
          <w:color w:val="auto"/>
          <w:spacing w:val="-4"/>
          <w:sz w:val="28"/>
          <w:szCs w:val="28"/>
          <w:lang w:val="en-US" w:eastAsia="zh-CN"/>
        </w:rPr>
        <w:t>03</w:t>
      </w:r>
      <w:r>
        <w:rPr>
          <w:rStyle w:val="18"/>
          <w:rFonts w:hint="eastAsia" w:ascii="仿宋_GB2312" w:hAnsi="楷体" w:eastAsia="仿宋_GB2312"/>
          <w:b w:val="0"/>
          <w:color w:val="auto"/>
          <w:spacing w:val="-4"/>
          <w:sz w:val="28"/>
          <w:szCs w:val="28"/>
        </w:rPr>
        <w:t>号《专项资金管理办法》文件精神要求，加强对专项资金的绩效管理，确保专款专用，提高专项资金使用效益。遵守相关法律法规，严肃财经纪律，自觉接受财政、审计、监察监督检查。</w:t>
      </w:r>
    </w:p>
    <w:p>
      <w:pPr>
        <w:pStyle w:val="7"/>
        <w:numPr>
          <w:ilvl w:val="0"/>
          <w:numId w:val="3"/>
        </w:numPr>
        <w:spacing w:line="360" w:lineRule="auto"/>
        <w:rPr>
          <w:rStyle w:val="18"/>
          <w:rFonts w:ascii="仿宋" w:hAnsi="仿宋" w:eastAsia="仿宋"/>
          <w:b/>
          <w:bCs/>
        </w:rPr>
      </w:pPr>
      <w:r>
        <w:rPr>
          <w:rStyle w:val="18"/>
          <w:rFonts w:hint="eastAsia" w:ascii="仿宋" w:hAnsi="仿宋" w:eastAsia="仿宋"/>
          <w:b/>
          <w:bCs/>
        </w:rPr>
        <w:t>项目实施情况分析</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w:t>
      </w:r>
      <w:r>
        <w:rPr>
          <w:rStyle w:val="18"/>
          <w:rFonts w:ascii="仿宋_GB2312" w:hAnsi="楷体" w:eastAsia="仿宋_GB2312"/>
          <w:b w:val="0"/>
          <w:spacing w:val="-4"/>
          <w:sz w:val="28"/>
          <w:szCs w:val="28"/>
        </w:rPr>
        <w:t>、组织情况</w:t>
      </w:r>
    </w:p>
    <w:p>
      <w:pPr>
        <w:spacing w:line="360" w:lineRule="auto"/>
        <w:ind w:firstLine="544" w:firstLineChars="200"/>
        <w:rPr>
          <w:rStyle w:val="18"/>
          <w:rFonts w:hint="eastAsia" w:ascii="仿宋_GB2312" w:hAnsi="楷体" w:eastAsia="仿宋_GB2312"/>
          <w:b w:val="0"/>
          <w:color w:val="auto"/>
          <w:spacing w:val="-4"/>
          <w:sz w:val="28"/>
          <w:szCs w:val="28"/>
        </w:rPr>
      </w:pPr>
      <w:r>
        <w:rPr>
          <w:rStyle w:val="18"/>
          <w:rFonts w:hint="eastAsia" w:ascii="仿宋_GB2312" w:hAnsi="楷体" w:eastAsia="仿宋_GB2312"/>
          <w:b w:val="0"/>
          <w:color w:val="auto"/>
          <w:spacing w:val="-4"/>
          <w:sz w:val="28"/>
          <w:szCs w:val="28"/>
          <w:lang w:val="en-US" w:eastAsia="zh-CN"/>
        </w:rPr>
        <w:t>特克斯县阔克铁热克乡人民政府</w:t>
      </w:r>
      <w:r>
        <w:rPr>
          <w:rStyle w:val="18"/>
          <w:rFonts w:hint="eastAsia" w:asciiTheme="minorEastAsia" w:hAnsiTheme="minorEastAsia"/>
          <w:bCs w:val="0"/>
          <w:color w:val="auto"/>
          <w:spacing w:val="-4"/>
          <w:sz w:val="28"/>
          <w:szCs w:val="28"/>
        </w:rPr>
        <w:t>，</w:t>
      </w:r>
      <w:r>
        <w:rPr>
          <w:rStyle w:val="18"/>
          <w:rFonts w:hint="eastAsia" w:ascii="仿宋_GB2312" w:hAnsi="楷体" w:eastAsia="仿宋_GB2312"/>
          <w:b w:val="0"/>
          <w:color w:val="auto"/>
          <w:spacing w:val="-4"/>
          <w:sz w:val="28"/>
          <w:szCs w:val="28"/>
        </w:rPr>
        <w:t>根据202</w:t>
      </w:r>
      <w:r>
        <w:rPr>
          <w:rStyle w:val="18"/>
          <w:rFonts w:ascii="仿宋_GB2312" w:hAnsi="楷体" w:eastAsia="仿宋_GB2312"/>
          <w:b w:val="0"/>
          <w:color w:val="auto"/>
          <w:spacing w:val="-4"/>
          <w:sz w:val="28"/>
          <w:szCs w:val="28"/>
        </w:rPr>
        <w:t>1</w:t>
      </w:r>
      <w:r>
        <w:rPr>
          <w:rStyle w:val="18"/>
          <w:rFonts w:hint="eastAsia" w:ascii="仿宋_GB2312" w:hAnsi="楷体" w:eastAsia="仿宋_GB2312"/>
          <w:b w:val="0"/>
          <w:color w:val="auto"/>
          <w:spacing w:val="-4"/>
          <w:sz w:val="28"/>
          <w:szCs w:val="28"/>
        </w:rPr>
        <w:t>年</w:t>
      </w:r>
      <w:r>
        <w:rPr>
          <w:rStyle w:val="18"/>
          <w:rFonts w:hint="eastAsia" w:ascii="仿宋_GB2312" w:hAnsi="楷体" w:eastAsia="仿宋_GB2312"/>
          <w:b w:val="0"/>
          <w:color w:val="auto"/>
          <w:spacing w:val="-4"/>
          <w:sz w:val="28"/>
          <w:szCs w:val="28"/>
          <w:lang w:val="en-US" w:eastAsia="zh-CN"/>
        </w:rPr>
        <w:t>1</w:t>
      </w:r>
      <w:r>
        <w:rPr>
          <w:rStyle w:val="18"/>
          <w:rFonts w:hint="eastAsia" w:ascii="仿宋_GB2312" w:hAnsi="楷体" w:eastAsia="仿宋_GB2312"/>
          <w:b w:val="0"/>
          <w:color w:val="auto"/>
          <w:spacing w:val="-4"/>
          <w:sz w:val="28"/>
          <w:szCs w:val="28"/>
        </w:rPr>
        <w:t>个项目的绩效目标及工作内容，将其细化分工至本单位</w:t>
      </w:r>
      <w:r>
        <w:rPr>
          <w:rStyle w:val="18"/>
          <w:rFonts w:hint="eastAsia" w:ascii="仿宋_GB2312" w:hAnsi="楷体" w:eastAsia="仿宋_GB2312"/>
          <w:b w:val="0"/>
          <w:color w:val="auto"/>
          <w:spacing w:val="-4"/>
          <w:sz w:val="28"/>
          <w:szCs w:val="28"/>
          <w:lang w:val="en-US" w:eastAsia="zh-CN"/>
        </w:rPr>
        <w:t>尹彦宁，加强组织领导，</w:t>
      </w:r>
      <w:r>
        <w:rPr>
          <w:rStyle w:val="18"/>
          <w:rFonts w:hint="eastAsia" w:ascii="仿宋_GB2312" w:hAnsi="楷体" w:eastAsia="仿宋_GB2312"/>
          <w:b w:val="0"/>
          <w:color w:val="auto"/>
          <w:spacing w:val="-4"/>
          <w:sz w:val="28"/>
          <w:szCs w:val="28"/>
        </w:rPr>
        <w:t>明确分工，各司其职，抓好工作目标任务的落实完成，同时年中要求各科室负责人按照年初预算对本科室绩效工作进行自查自评，并报上半年工作情况总结，</w:t>
      </w:r>
      <w:r>
        <w:rPr>
          <w:rStyle w:val="18"/>
          <w:rFonts w:ascii="仿宋_GB2312" w:hAnsi="楷体" w:eastAsia="仿宋_GB2312"/>
          <w:b w:val="0"/>
          <w:color w:val="auto"/>
          <w:spacing w:val="-4"/>
          <w:sz w:val="28"/>
          <w:szCs w:val="28"/>
        </w:rPr>
        <w:t>5</w:t>
      </w:r>
      <w:r>
        <w:rPr>
          <w:rStyle w:val="18"/>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w:t>
      </w:r>
      <w:r>
        <w:rPr>
          <w:rStyle w:val="18"/>
          <w:rFonts w:ascii="仿宋_GB2312" w:hAnsi="楷体" w:eastAsia="仿宋_GB2312"/>
          <w:b w:val="0"/>
          <w:spacing w:val="-4"/>
          <w:sz w:val="28"/>
          <w:szCs w:val="28"/>
        </w:rPr>
        <w:t>、管理情况</w:t>
      </w:r>
    </w:p>
    <w:p>
      <w:pPr>
        <w:spacing w:line="360" w:lineRule="auto"/>
        <w:ind w:firstLine="544" w:firstLineChars="200"/>
        <w:rPr>
          <w:rStyle w:val="18"/>
          <w:rFonts w:hint="eastAsia" w:ascii="仿宋_GB2312" w:hAnsi="楷体" w:eastAsia="仿宋_GB2312"/>
          <w:b w:val="0"/>
          <w:spacing w:val="-4"/>
          <w:sz w:val="28"/>
          <w:szCs w:val="28"/>
        </w:rPr>
      </w:pPr>
      <w:r>
        <w:rPr>
          <w:rStyle w:val="18"/>
          <w:rFonts w:hint="eastAsia" w:ascii="仿宋_GB2312" w:hAnsi="楷体" w:eastAsia="仿宋_GB2312"/>
          <w:b w:val="0"/>
          <w:color w:val="auto"/>
          <w:spacing w:val="-4"/>
          <w:sz w:val="28"/>
          <w:szCs w:val="28"/>
          <w:lang w:val="en-US" w:eastAsia="zh-CN"/>
        </w:rPr>
        <w:t>特克斯县阔克铁热克乡人民政府</w:t>
      </w:r>
      <w:r>
        <w:rPr>
          <w:rStyle w:val="18"/>
          <w:rFonts w:hint="eastAsia" w:ascii="仿宋_GB2312" w:hAnsi="楷体" w:eastAsia="仿宋_GB2312"/>
          <w:b w:val="0"/>
          <w:color w:val="auto"/>
          <w:spacing w:val="-4"/>
          <w:sz w:val="28"/>
          <w:szCs w:val="28"/>
        </w:rPr>
        <w:t>，实施的</w:t>
      </w:r>
      <w:r>
        <w:rPr>
          <w:rStyle w:val="18"/>
          <w:rFonts w:hint="eastAsia" w:ascii="仿宋_GB2312" w:hAnsi="楷体" w:eastAsia="仿宋_GB2312"/>
          <w:b w:val="0"/>
          <w:color w:val="auto"/>
          <w:spacing w:val="-4"/>
          <w:sz w:val="28"/>
          <w:szCs w:val="28"/>
          <w:lang w:val="en-US" w:eastAsia="zh-CN"/>
        </w:rPr>
        <w:t>1</w:t>
      </w:r>
      <w:r>
        <w:rPr>
          <w:rStyle w:val="18"/>
          <w:rFonts w:hint="eastAsia" w:ascii="仿宋_GB2312" w:hAnsi="楷体" w:eastAsia="仿宋_GB2312"/>
          <w:b w:val="0"/>
          <w:color w:val="auto"/>
          <w:spacing w:val="-4"/>
          <w:sz w:val="28"/>
          <w:szCs w:val="28"/>
        </w:rPr>
        <w:t>个项目，由相关业务处室</w:t>
      </w:r>
      <w:r>
        <w:rPr>
          <w:rStyle w:val="18"/>
          <w:rFonts w:hint="eastAsia" w:ascii="仿宋_GB2312" w:hAnsi="楷体" w:eastAsia="仿宋_GB2312"/>
          <w:b w:val="0"/>
          <w:color w:val="auto"/>
          <w:spacing w:val="-4"/>
          <w:sz w:val="28"/>
          <w:szCs w:val="28"/>
          <w:lang w:val="en-US" w:eastAsia="zh-CN"/>
        </w:rPr>
        <w:t>项目办</w:t>
      </w:r>
      <w:r>
        <w:rPr>
          <w:rStyle w:val="18"/>
          <w:rFonts w:hint="eastAsia" w:ascii="仿宋_GB2312" w:hAnsi="楷体" w:eastAsia="仿宋_GB2312"/>
          <w:b w:val="0"/>
          <w:color w:val="auto"/>
          <w:spacing w:val="-4"/>
          <w:sz w:val="28"/>
          <w:szCs w:val="28"/>
        </w:rPr>
        <w:t>派专人进行全过程跟踪管理，</w:t>
      </w:r>
      <w:r>
        <w:rPr>
          <w:rStyle w:val="18"/>
          <w:rFonts w:hint="eastAsia" w:ascii="仿宋_GB2312" w:hAnsi="楷体" w:eastAsia="仿宋_GB2312"/>
          <w:b w:val="0"/>
          <w:color w:val="auto"/>
          <w:spacing w:val="-4"/>
          <w:sz w:val="28"/>
          <w:szCs w:val="28"/>
          <w:lang w:val="en-US" w:eastAsia="zh-CN"/>
        </w:rPr>
        <w:t>项目办负债人</w:t>
      </w:r>
      <w:r>
        <w:rPr>
          <w:rStyle w:val="18"/>
          <w:rFonts w:hint="eastAsia" w:ascii="仿宋_GB2312" w:hAnsi="楷体" w:eastAsia="仿宋_GB2312"/>
          <w:b w:val="0"/>
          <w:color w:val="auto"/>
          <w:spacing w:val="-4"/>
          <w:sz w:val="28"/>
          <w:szCs w:val="28"/>
        </w:rPr>
        <w:t>统筹推进项目实施，单位领导不定期对项目进度进行调度，并对项目质量进行控制。</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3</w:t>
      </w:r>
      <w:r>
        <w:rPr>
          <w:rStyle w:val="18"/>
          <w:rFonts w:ascii="仿宋_GB2312" w:hAnsi="楷体" w:eastAsia="仿宋_GB2312"/>
          <w:b w:val="0"/>
          <w:spacing w:val="-4"/>
          <w:sz w:val="28"/>
          <w:szCs w:val="28"/>
        </w:rPr>
        <w:t>、监管情况</w:t>
      </w:r>
    </w:p>
    <w:p>
      <w:pPr>
        <w:spacing w:line="360" w:lineRule="auto"/>
        <w:ind w:firstLine="544" w:firstLineChars="200"/>
        <w:rPr>
          <w:rStyle w:val="18"/>
          <w:rFonts w:hint="eastAsia" w:ascii="仿宋_GB2312" w:hAnsi="楷体" w:eastAsia="仿宋_GB2312"/>
          <w:b w:val="0"/>
          <w:color w:val="auto"/>
          <w:spacing w:val="-4"/>
          <w:sz w:val="28"/>
          <w:szCs w:val="28"/>
        </w:rPr>
      </w:pPr>
      <w:r>
        <w:rPr>
          <w:rStyle w:val="18"/>
          <w:rFonts w:hint="eastAsia" w:ascii="仿宋_GB2312" w:hAnsi="楷体" w:eastAsia="仿宋_GB2312"/>
          <w:b w:val="0"/>
          <w:color w:val="auto"/>
          <w:spacing w:val="-4"/>
          <w:sz w:val="28"/>
          <w:szCs w:val="28"/>
          <w:lang w:val="en-US" w:eastAsia="zh-CN"/>
        </w:rPr>
        <w:t>特克斯县阔克铁热克乡人民政府</w:t>
      </w:r>
      <w:r>
        <w:rPr>
          <w:rStyle w:val="18"/>
          <w:rFonts w:hint="eastAsia" w:ascii="仿宋_GB2312" w:hAnsi="楷体" w:eastAsia="仿宋_GB2312"/>
          <w:b w:val="0"/>
          <w:color w:val="auto"/>
          <w:spacing w:val="-4"/>
          <w:sz w:val="28"/>
          <w:szCs w:val="28"/>
          <w:lang w:eastAsia="zh-CN"/>
        </w:rPr>
        <w:t>项目办、财政所、乡村振兴办</w:t>
      </w:r>
      <w:r>
        <w:rPr>
          <w:rStyle w:val="18"/>
          <w:rFonts w:hint="eastAsia" w:ascii="仿宋_GB2312" w:hAnsi="楷体" w:eastAsia="仿宋_GB2312"/>
          <w:b w:val="0"/>
          <w:color w:val="auto"/>
          <w:spacing w:val="-4"/>
          <w:sz w:val="28"/>
          <w:szCs w:val="28"/>
        </w:rPr>
        <w:t>从项目实施方案、项目预算、项目建设进度、项目成本、项目验收等环节，全过程对项目进行监管，并向本部门单位主要领导报告，以推进项目建设和提高项目质量，以发挥资金使用效益。</w:t>
      </w:r>
    </w:p>
    <w:p>
      <w:pPr>
        <w:pStyle w:val="7"/>
        <w:numPr>
          <w:ilvl w:val="0"/>
          <w:numId w:val="3"/>
        </w:numPr>
        <w:spacing w:line="360" w:lineRule="auto"/>
        <w:rPr>
          <w:rStyle w:val="18"/>
          <w:rFonts w:ascii="仿宋" w:hAnsi="仿宋" w:eastAsia="仿宋"/>
          <w:b/>
          <w:bCs/>
        </w:rPr>
      </w:pPr>
      <w:r>
        <w:rPr>
          <w:rStyle w:val="18"/>
          <w:rFonts w:hint="eastAsia" w:ascii="仿宋" w:hAnsi="仿宋" w:eastAsia="仿宋"/>
          <w:b/>
          <w:bCs/>
        </w:rPr>
        <w:t>绩效情况分析</w:t>
      </w:r>
    </w:p>
    <w:p>
      <w:pPr>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1</w:t>
      </w:r>
      <w:r>
        <w:rPr>
          <w:rStyle w:val="18"/>
          <w:rFonts w:ascii="仿宋_GB2312" w:hAnsi="楷体" w:eastAsia="仿宋_GB2312"/>
          <w:b w:val="0"/>
          <w:bCs w:val="0"/>
          <w:spacing w:val="-4"/>
          <w:sz w:val="28"/>
          <w:szCs w:val="28"/>
        </w:rPr>
        <w:t>、成本控制情况</w:t>
      </w:r>
    </w:p>
    <w:p>
      <w:pPr>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lang w:val="en-US" w:eastAsia="zh-CN"/>
        </w:rPr>
        <w:t>特克斯县阔克铁热克乡人民政府</w:t>
      </w:r>
      <w:r>
        <w:rPr>
          <w:rStyle w:val="18"/>
          <w:rFonts w:hint="eastAsia" w:ascii="仿宋_GB2312" w:hAnsi="楷体" w:eastAsia="仿宋_GB2312"/>
          <w:b w:val="0"/>
          <w:spacing w:val="-4"/>
          <w:sz w:val="28"/>
          <w:szCs w:val="28"/>
        </w:rPr>
        <w:t>，所涉及专项项目均已于专项资金下达后按照资金文件及绩效管理要求设置《项目绩效目标表》。</w:t>
      </w:r>
      <w:r>
        <w:rPr>
          <w:rStyle w:val="18"/>
          <w:rFonts w:hint="eastAsia" w:ascii="仿宋_GB2312" w:hAnsi="楷体" w:eastAsia="仿宋_GB2312"/>
          <w:b w:val="0"/>
          <w:spacing w:val="-4"/>
          <w:sz w:val="28"/>
          <w:szCs w:val="28"/>
          <w:lang w:val="en-US" w:eastAsia="zh-CN"/>
        </w:rPr>
        <w:t>1</w:t>
      </w:r>
      <w:r>
        <w:rPr>
          <w:rStyle w:val="18"/>
          <w:rFonts w:hint="eastAsia" w:ascii="仿宋_GB2312" w:hAnsi="楷体" w:eastAsia="仿宋_GB2312"/>
          <w:b w:val="0"/>
          <w:spacing w:val="-4"/>
          <w:sz w:val="28"/>
          <w:szCs w:val="28"/>
        </w:rPr>
        <w:t>个专项项目预算总额为</w:t>
      </w:r>
      <w:r>
        <w:rPr>
          <w:rStyle w:val="18"/>
          <w:rFonts w:hint="eastAsia" w:ascii="仿宋_GB2312" w:hAnsi="楷体" w:eastAsia="仿宋_GB2312"/>
          <w:b w:val="0"/>
          <w:spacing w:val="-4"/>
          <w:sz w:val="28"/>
          <w:szCs w:val="28"/>
          <w:lang w:val="en-US" w:eastAsia="zh-CN"/>
        </w:rPr>
        <w:t>20</w:t>
      </w:r>
      <w:r>
        <w:rPr>
          <w:rStyle w:val="18"/>
          <w:rFonts w:hint="eastAsia" w:ascii="仿宋_GB2312" w:hAnsi="楷体" w:eastAsia="仿宋_GB2312"/>
          <w:b w:val="0"/>
          <w:spacing w:val="-4"/>
          <w:sz w:val="28"/>
          <w:szCs w:val="28"/>
        </w:rPr>
        <w:t>万元，在项目实施过程中，业务人员加强项目管理，合理控制项目成本，截止项目结束，</w:t>
      </w:r>
      <w:r>
        <w:rPr>
          <w:rStyle w:val="18"/>
          <w:rFonts w:hint="eastAsia" w:ascii="仿宋_GB2312" w:hAnsi="楷体" w:eastAsia="仿宋_GB2312"/>
          <w:b w:val="0"/>
          <w:spacing w:val="-4"/>
          <w:sz w:val="28"/>
          <w:szCs w:val="28"/>
          <w:lang w:val="en-US" w:eastAsia="zh-CN"/>
        </w:rPr>
        <w:t>1</w:t>
      </w:r>
      <w:r>
        <w:rPr>
          <w:rStyle w:val="18"/>
          <w:rFonts w:hint="eastAsia" w:ascii="仿宋_GB2312" w:hAnsi="楷体" w:eastAsia="仿宋_GB2312"/>
          <w:b w:val="0"/>
          <w:spacing w:val="-4"/>
          <w:sz w:val="28"/>
          <w:szCs w:val="28"/>
        </w:rPr>
        <w:t>个项目总成本为</w:t>
      </w:r>
      <w:r>
        <w:rPr>
          <w:rStyle w:val="18"/>
          <w:rFonts w:hint="eastAsia" w:ascii="仿宋_GB2312" w:hAnsi="楷体" w:eastAsia="仿宋_GB2312"/>
          <w:b w:val="0"/>
          <w:spacing w:val="-4"/>
          <w:sz w:val="28"/>
          <w:szCs w:val="28"/>
          <w:lang w:val="en-US" w:eastAsia="zh-CN"/>
        </w:rPr>
        <w:t>20</w:t>
      </w:r>
      <w:r>
        <w:rPr>
          <w:rStyle w:val="18"/>
          <w:rFonts w:hint="eastAsia" w:ascii="仿宋_GB2312" w:hAnsi="楷体" w:eastAsia="仿宋_GB2312"/>
          <w:b w:val="0"/>
          <w:spacing w:val="-4"/>
          <w:sz w:val="28"/>
          <w:szCs w:val="28"/>
        </w:rPr>
        <w:t>万元，不存在超支情况。</w:t>
      </w:r>
    </w:p>
    <w:p>
      <w:pPr>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2</w:t>
      </w:r>
      <w:r>
        <w:rPr>
          <w:rStyle w:val="18"/>
          <w:rFonts w:ascii="仿宋_GB2312" w:hAnsi="楷体" w:eastAsia="仿宋_GB2312"/>
          <w:b w:val="0"/>
          <w:bCs w:val="0"/>
          <w:spacing w:val="-4"/>
          <w:sz w:val="28"/>
          <w:szCs w:val="28"/>
        </w:rPr>
        <w:t>、成本节约情况</w:t>
      </w:r>
    </w:p>
    <w:p>
      <w:pPr>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lang w:val="en-US" w:eastAsia="zh-CN"/>
        </w:rPr>
        <w:t>特克斯县阔克铁热克乡人民政府，</w:t>
      </w:r>
      <w:r>
        <w:rPr>
          <w:rStyle w:val="18"/>
          <w:rFonts w:hint="eastAsia" w:ascii="仿宋_GB2312" w:hAnsi="楷体" w:eastAsia="仿宋_GB2312"/>
          <w:b w:val="0"/>
          <w:spacing w:val="-4"/>
          <w:sz w:val="28"/>
          <w:szCs w:val="28"/>
        </w:rPr>
        <w:t>所涉及专项项目使用资金比专项项目总预算减少</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w:t>
      </w:r>
      <w:bookmarkStart w:id="22" w:name="_Hlk96097132"/>
      <w:r>
        <w:rPr>
          <w:rStyle w:val="18"/>
          <w:rFonts w:hint="eastAsia" w:ascii="仿宋_GB2312" w:hAnsi="楷体" w:eastAsia="仿宋_GB2312"/>
          <w:b w:val="0"/>
          <w:spacing w:val="-4"/>
          <w:sz w:val="28"/>
          <w:szCs w:val="28"/>
        </w:rPr>
        <w:t>项目节约率</w:t>
      </w:r>
      <w:bookmarkEnd w:id="22"/>
      <w:r>
        <w:rPr>
          <w:rStyle w:val="18"/>
          <w:rFonts w:hint="eastAsia" w:ascii="仿宋_GB2312" w:hAnsi="楷体" w:eastAsia="仿宋_GB2312"/>
          <w:b w:val="0"/>
          <w:spacing w:val="-4"/>
          <w:sz w:val="28"/>
          <w:szCs w:val="28"/>
        </w:rPr>
        <w:t>为</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w:t>
      </w:r>
    </w:p>
    <w:p>
      <w:pPr>
        <w:pStyle w:val="7"/>
        <w:numPr>
          <w:ilvl w:val="0"/>
          <w:numId w:val="3"/>
        </w:numPr>
        <w:spacing w:line="360" w:lineRule="auto"/>
        <w:rPr>
          <w:rStyle w:val="18"/>
          <w:rFonts w:hint="eastAsia" w:ascii="仿宋" w:hAnsi="仿宋" w:eastAsia="仿宋"/>
          <w:b/>
          <w:bCs/>
        </w:rPr>
      </w:pPr>
      <w:r>
        <w:rPr>
          <w:rStyle w:val="18"/>
          <w:rFonts w:hint="eastAsia" w:ascii="仿宋" w:hAnsi="仿宋" w:eastAsia="仿宋"/>
          <w:b/>
          <w:bCs/>
        </w:rPr>
        <w:t>项目效率性分析</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1、实施进度</w:t>
      </w:r>
    </w:p>
    <w:p>
      <w:pPr>
        <w:spacing w:line="360" w:lineRule="auto"/>
        <w:ind w:firstLine="544" w:firstLineChars="200"/>
        <w:rPr>
          <w:rStyle w:val="18"/>
          <w:rFonts w:hint="eastAsia" w:ascii="仿宋_GB2312" w:hAnsi="楷体" w:eastAsia="仿宋_GB2312"/>
          <w:b w:val="0"/>
          <w:spacing w:val="-4"/>
          <w:sz w:val="28"/>
          <w:szCs w:val="28"/>
        </w:rPr>
      </w:pPr>
      <w:r>
        <w:rPr>
          <w:rStyle w:val="18"/>
          <w:rFonts w:hint="eastAsia" w:ascii="仿宋_GB2312" w:hAnsi="楷体" w:eastAsia="仿宋_GB2312"/>
          <w:b w:val="0"/>
          <w:spacing w:val="-4"/>
          <w:sz w:val="28"/>
          <w:szCs w:val="28"/>
        </w:rPr>
        <w:t>2021年</w:t>
      </w:r>
      <w:r>
        <w:rPr>
          <w:rStyle w:val="18"/>
          <w:rFonts w:hint="eastAsia" w:ascii="仿宋_GB2312" w:hAnsi="楷体" w:eastAsia="仿宋_GB2312"/>
          <w:b w:val="0"/>
          <w:spacing w:val="-4"/>
          <w:sz w:val="28"/>
          <w:szCs w:val="28"/>
          <w:lang w:val="en-US" w:eastAsia="zh-CN"/>
        </w:rPr>
        <w:t>特克斯县阔克铁热克乡人民政府</w:t>
      </w:r>
      <w:r>
        <w:rPr>
          <w:rStyle w:val="18"/>
          <w:rFonts w:hint="eastAsia" w:ascii="仿宋_GB2312" w:hAnsi="楷体" w:eastAsia="仿宋_GB2312"/>
          <w:b w:val="0"/>
          <w:spacing w:val="-4"/>
          <w:sz w:val="28"/>
          <w:szCs w:val="28"/>
        </w:rPr>
        <w:t>共涉及专项项目</w:t>
      </w:r>
      <w:r>
        <w:rPr>
          <w:rStyle w:val="18"/>
          <w:rFonts w:hint="eastAsia" w:ascii="仿宋_GB2312" w:hAnsi="楷体" w:eastAsia="仿宋_GB2312"/>
          <w:b w:val="0"/>
          <w:spacing w:val="-4"/>
          <w:sz w:val="28"/>
          <w:szCs w:val="28"/>
          <w:lang w:val="en-US" w:eastAsia="zh-CN"/>
        </w:rPr>
        <w:t>1</w:t>
      </w:r>
      <w:r>
        <w:rPr>
          <w:rStyle w:val="18"/>
          <w:rFonts w:hint="eastAsia" w:ascii="仿宋_GB2312" w:hAnsi="楷体" w:eastAsia="仿宋_GB2312"/>
          <w:b w:val="0"/>
          <w:spacing w:val="-4"/>
          <w:sz w:val="28"/>
          <w:szCs w:val="28"/>
        </w:rPr>
        <w:t>个，截止到202</w:t>
      </w:r>
      <w:r>
        <w:rPr>
          <w:rStyle w:val="18"/>
          <w:rFonts w:hint="eastAsia" w:ascii="仿宋_GB2312" w:hAnsi="楷体" w:eastAsia="仿宋_GB2312"/>
          <w:b w:val="0"/>
          <w:spacing w:val="-4"/>
          <w:sz w:val="28"/>
          <w:szCs w:val="28"/>
          <w:lang w:val="en-US" w:eastAsia="zh-CN"/>
        </w:rPr>
        <w:t>1</w:t>
      </w:r>
      <w:r>
        <w:rPr>
          <w:rStyle w:val="18"/>
          <w:rFonts w:hint="eastAsia" w:ascii="仿宋_GB2312" w:hAnsi="楷体" w:eastAsia="仿宋_GB2312"/>
          <w:b w:val="0"/>
          <w:spacing w:val="-4"/>
          <w:sz w:val="28"/>
          <w:szCs w:val="28"/>
        </w:rPr>
        <w:t>年底，通过专项项目实施过程中的有效监督，我单位按预期完成了</w:t>
      </w:r>
      <w:r>
        <w:rPr>
          <w:rStyle w:val="18"/>
          <w:rFonts w:hint="eastAsia" w:ascii="仿宋_GB2312" w:hAnsi="楷体" w:eastAsia="仿宋_GB2312"/>
          <w:b w:val="0"/>
          <w:spacing w:val="-4"/>
          <w:sz w:val="28"/>
          <w:szCs w:val="28"/>
          <w:lang w:val="en-US" w:eastAsia="zh-CN"/>
        </w:rPr>
        <w:t>1</w:t>
      </w:r>
      <w:r>
        <w:rPr>
          <w:rStyle w:val="18"/>
          <w:rFonts w:hint="eastAsia" w:ascii="仿宋_GB2312" w:hAnsi="楷体" w:eastAsia="仿宋_GB2312"/>
          <w:b w:val="0"/>
          <w:spacing w:val="-4"/>
          <w:sz w:val="28"/>
          <w:szCs w:val="28"/>
        </w:rPr>
        <w:t>个专项的各项专项任务，项目总体完成率为</w:t>
      </w:r>
      <w:r>
        <w:rPr>
          <w:rStyle w:val="18"/>
          <w:rFonts w:hint="eastAsia" w:ascii="仿宋_GB2312" w:hAnsi="楷体" w:eastAsia="仿宋_GB2312"/>
          <w:b w:val="0"/>
          <w:spacing w:val="-4"/>
          <w:sz w:val="28"/>
          <w:szCs w:val="28"/>
        </w:rPr>
        <w:tab/>
      </w:r>
      <w:r>
        <w:rPr>
          <w:rStyle w:val="18"/>
          <w:rFonts w:hint="eastAsia" w:ascii="仿宋_GB2312" w:hAnsi="楷体" w:eastAsia="仿宋_GB2312"/>
          <w:b w:val="0"/>
          <w:spacing w:val="-4"/>
          <w:sz w:val="28"/>
          <w:szCs w:val="28"/>
          <w:lang w:val="en-US" w:eastAsia="zh-CN"/>
        </w:rPr>
        <w:t>100</w:t>
      </w:r>
      <w:r>
        <w:rPr>
          <w:rStyle w:val="18"/>
          <w:rFonts w:hint="eastAsia" w:ascii="仿宋_GB2312" w:hAnsi="楷体" w:eastAsia="仿宋_GB2312"/>
          <w:b w:val="0"/>
          <w:spacing w:val="-4"/>
          <w:sz w:val="28"/>
          <w:szCs w:val="28"/>
        </w:rPr>
        <w:t>%。</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2、完成质量</w:t>
      </w:r>
    </w:p>
    <w:p>
      <w:pPr>
        <w:spacing w:line="360" w:lineRule="auto"/>
        <w:ind w:firstLine="544" w:firstLineChars="200"/>
        <w:rPr>
          <w:rStyle w:val="18"/>
          <w:rFonts w:hint="eastAsia" w:ascii="仿宋_GB2312" w:hAnsi="楷体" w:eastAsia="仿宋_GB2312"/>
          <w:b w:val="0"/>
          <w:spacing w:val="-4"/>
          <w:sz w:val="28"/>
          <w:szCs w:val="28"/>
        </w:rPr>
      </w:pPr>
      <w:bookmarkStart w:id="23" w:name="_Hlk96100380"/>
      <w:r>
        <w:rPr>
          <w:rStyle w:val="18"/>
          <w:rFonts w:hint="eastAsia" w:ascii="仿宋_GB2312" w:hAnsi="楷体" w:eastAsia="仿宋_GB2312"/>
          <w:b w:val="0"/>
          <w:spacing w:val="-4"/>
          <w:sz w:val="28"/>
          <w:szCs w:val="28"/>
          <w:lang w:val="en-US" w:eastAsia="zh-CN"/>
        </w:rPr>
        <w:t>1</w:t>
      </w:r>
      <w:r>
        <w:rPr>
          <w:rStyle w:val="18"/>
          <w:rFonts w:hint="eastAsia" w:ascii="仿宋_GB2312" w:hAnsi="楷体" w:eastAsia="仿宋_GB2312"/>
          <w:b w:val="0"/>
          <w:spacing w:val="-4"/>
          <w:sz w:val="28"/>
          <w:szCs w:val="28"/>
        </w:rPr>
        <w:t>个专项项目完成质量情况如下：</w:t>
      </w:r>
      <w:bookmarkEnd w:id="23"/>
    </w:p>
    <w:p>
      <w:pPr>
        <w:spacing w:line="360" w:lineRule="auto"/>
        <w:ind w:firstLine="544" w:firstLineChars="200"/>
        <w:rPr>
          <w:rStyle w:val="18"/>
          <w:rFonts w:ascii="仿宋_GB2312" w:hAnsi="楷体" w:eastAsia="仿宋_GB2312"/>
          <w:b w:val="0"/>
          <w:spacing w:val="-4"/>
          <w:sz w:val="28"/>
          <w:szCs w:val="28"/>
          <w:highlight w:val="yellow"/>
        </w:rPr>
      </w:pPr>
      <w:r>
        <w:rPr>
          <w:rStyle w:val="18"/>
          <w:rFonts w:hint="eastAsia" w:ascii="仿宋_GB2312" w:hAnsi="楷体" w:eastAsia="仿宋_GB2312"/>
          <w:b w:val="0"/>
          <w:spacing w:val="-4"/>
          <w:sz w:val="28"/>
          <w:szCs w:val="28"/>
          <w:highlight w:val="none"/>
        </w:rPr>
        <w:t>①</w:t>
      </w:r>
      <w:r>
        <w:rPr>
          <w:rStyle w:val="18"/>
          <w:rFonts w:hint="eastAsia" w:ascii="仿宋_GB2312" w:hAnsi="楷体" w:eastAsia="仿宋_GB2312"/>
          <w:b w:val="0"/>
          <w:spacing w:val="-4"/>
          <w:sz w:val="28"/>
          <w:szCs w:val="28"/>
          <w:highlight w:val="none"/>
          <w:lang w:val="en-US" w:eastAsia="zh-CN"/>
        </w:rPr>
        <w:t>体育器材项目</w:t>
      </w:r>
      <w:r>
        <w:rPr>
          <w:rStyle w:val="18"/>
          <w:rFonts w:hint="eastAsia" w:ascii="仿宋_GB2312" w:hAnsi="楷体" w:eastAsia="仿宋_GB2312"/>
          <w:b w:val="0"/>
          <w:spacing w:val="-4"/>
          <w:sz w:val="28"/>
          <w:szCs w:val="28"/>
          <w:highlight w:val="none"/>
        </w:rPr>
        <w:t>完成</w:t>
      </w:r>
      <w:r>
        <w:rPr>
          <w:rStyle w:val="18"/>
          <w:rFonts w:hint="eastAsia" w:ascii="仿宋_GB2312" w:hAnsi="楷体" w:eastAsia="仿宋_GB2312" w:cs="Times New Roman"/>
          <w:b w:val="0"/>
          <w:spacing w:val="-4"/>
          <w:sz w:val="28"/>
          <w:szCs w:val="28"/>
          <w:lang w:val="en-US" w:eastAsia="zh-CN"/>
        </w:rPr>
        <w:t>维修体育场地建设1个、购置体育设施建设与设备4个。</w:t>
      </w:r>
    </w:p>
    <w:p>
      <w:pPr>
        <w:pStyle w:val="7"/>
        <w:numPr>
          <w:ilvl w:val="0"/>
          <w:numId w:val="3"/>
        </w:numPr>
        <w:spacing w:line="360" w:lineRule="auto"/>
        <w:rPr>
          <w:rStyle w:val="18"/>
          <w:rFonts w:ascii="仿宋" w:hAnsi="仿宋" w:eastAsia="仿宋"/>
          <w:b/>
          <w:bCs/>
        </w:rPr>
      </w:pPr>
      <w:r>
        <w:rPr>
          <w:rStyle w:val="18"/>
          <w:rFonts w:hint="eastAsia" w:ascii="仿宋" w:hAnsi="仿宋" w:eastAsia="仿宋"/>
          <w:b/>
          <w:bCs/>
        </w:rPr>
        <w:t>项目效益性分析</w:t>
      </w:r>
    </w:p>
    <w:p>
      <w:pPr>
        <w:spacing w:line="360" w:lineRule="auto"/>
        <w:ind w:firstLine="544" w:firstLineChars="200"/>
        <w:rPr>
          <w:rStyle w:val="18"/>
          <w:rFonts w:hint="eastAsia" w:ascii="仿宋_GB2312" w:hAnsi="楷体" w:eastAsia="仿宋_GB2312" w:cs="Times New Roman"/>
          <w:b w:val="0"/>
          <w:spacing w:val="-4"/>
          <w:sz w:val="28"/>
          <w:szCs w:val="28"/>
          <w:lang w:eastAsia="zh-CN"/>
        </w:rPr>
      </w:pPr>
      <w:r>
        <w:rPr>
          <w:rStyle w:val="18"/>
          <w:rFonts w:hint="eastAsia" w:ascii="仿宋_GB2312" w:hAnsi="楷体" w:eastAsia="仿宋_GB2312" w:cs="Times New Roman"/>
          <w:b w:val="0"/>
          <w:spacing w:val="-4"/>
          <w:sz w:val="28"/>
          <w:szCs w:val="28"/>
          <w:lang w:val="en-US" w:eastAsia="zh-CN"/>
        </w:rPr>
        <w:t>1</w:t>
      </w:r>
      <w:r>
        <w:rPr>
          <w:rStyle w:val="18"/>
          <w:rFonts w:hint="eastAsia" w:ascii="仿宋_GB2312" w:hAnsi="楷体" w:eastAsia="仿宋_GB2312" w:cs="Times New Roman"/>
          <w:b w:val="0"/>
          <w:spacing w:val="-4"/>
          <w:sz w:val="28"/>
          <w:szCs w:val="28"/>
        </w:rPr>
        <w:t>个专项项目预期目标完成程度、实施对经济和社会的影响如下</w:t>
      </w:r>
      <w:r>
        <w:rPr>
          <w:rStyle w:val="18"/>
          <w:rFonts w:hint="eastAsia" w:ascii="仿宋_GB2312" w:hAnsi="楷体" w:eastAsia="仿宋_GB2312" w:cs="Times New Roman"/>
          <w:b w:val="0"/>
          <w:spacing w:val="-4"/>
          <w:sz w:val="28"/>
          <w:szCs w:val="28"/>
          <w:lang w:eastAsia="zh-CN"/>
        </w:rPr>
        <w:t>：</w:t>
      </w:r>
    </w:p>
    <w:p>
      <w:pPr>
        <w:spacing w:line="360" w:lineRule="auto"/>
        <w:ind w:firstLine="544" w:firstLineChars="200"/>
        <w:rPr>
          <w:rStyle w:val="18"/>
          <w:rFonts w:hint="eastAsia" w:ascii="仿宋_GB2312" w:hAnsi="楷体" w:eastAsia="仿宋_GB2312" w:cs="Times New Roman"/>
          <w:b w:val="0"/>
          <w:spacing w:val="-4"/>
          <w:sz w:val="28"/>
          <w:szCs w:val="28"/>
          <w:lang w:val="en-US" w:eastAsia="zh-CN"/>
        </w:rPr>
      </w:pPr>
      <w:r>
        <w:rPr>
          <w:rStyle w:val="18"/>
          <w:rFonts w:hint="eastAsia" w:ascii="仿宋_GB2312" w:hAnsi="楷体" w:eastAsia="仿宋_GB2312" w:cs="Times New Roman"/>
          <w:b w:val="0"/>
          <w:spacing w:val="-4"/>
          <w:sz w:val="28"/>
          <w:szCs w:val="28"/>
        </w:rPr>
        <w:t>①</w:t>
      </w:r>
      <w:r>
        <w:rPr>
          <w:rStyle w:val="18"/>
          <w:rFonts w:hint="eastAsia" w:ascii="仿宋_GB2312" w:hAnsi="楷体" w:eastAsia="仿宋_GB2312" w:cs="Times New Roman"/>
          <w:b w:val="0"/>
          <w:spacing w:val="-4"/>
          <w:sz w:val="28"/>
          <w:szCs w:val="28"/>
          <w:lang w:val="en-US" w:eastAsia="zh-CN"/>
        </w:rPr>
        <w:t>体育器材项目霍斯托别村体育彩票公益金体育器材购置建设项目拟完善体育场地和体育设施体系，让群众健身有去处，锻炼有场地。</w:t>
      </w:r>
      <w:bookmarkStart w:id="24" w:name="_Toc70450310"/>
    </w:p>
    <w:p>
      <w:pPr>
        <w:pStyle w:val="5"/>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4"/>
    </w:p>
    <w:p>
      <w:pPr>
        <w:pStyle w:val="6"/>
        <w:spacing w:line="360" w:lineRule="auto"/>
        <w:rPr>
          <w:rStyle w:val="18"/>
          <w:rFonts w:ascii="仿宋" w:hAnsi="仿宋" w:eastAsia="仿宋"/>
          <w:b/>
          <w:bCs/>
        </w:rPr>
      </w:pPr>
      <w:bookmarkStart w:id="25" w:name="_Toc70450311"/>
      <w:r>
        <w:rPr>
          <w:rStyle w:val="18"/>
          <w:rFonts w:hint="eastAsia" w:ascii="仿宋" w:hAnsi="仿宋" w:eastAsia="仿宋"/>
          <w:b/>
          <w:bCs/>
        </w:rPr>
        <w:t>（一）资产配置情况</w:t>
      </w:r>
      <w:bookmarkEnd w:id="25"/>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w:t>
      </w:r>
      <w:r>
        <w:rPr>
          <w:rStyle w:val="18"/>
          <w:rFonts w:hint="eastAsia" w:ascii="仿宋_GB2312" w:hAnsi="宋体" w:eastAsia="仿宋_GB2312"/>
          <w:b w:val="0"/>
          <w:bCs w:val="0"/>
          <w:spacing w:val="-4"/>
          <w:sz w:val="28"/>
          <w:szCs w:val="28"/>
          <w:lang w:val="en-US" w:eastAsia="zh-CN"/>
        </w:rPr>
        <w:t>1</w:t>
      </w:r>
      <w:r>
        <w:rPr>
          <w:rStyle w:val="18"/>
          <w:rFonts w:hint="eastAsia" w:ascii="仿宋_GB2312" w:hAnsi="宋体" w:eastAsia="仿宋_GB2312"/>
          <w:b w:val="0"/>
          <w:bCs w:val="0"/>
          <w:spacing w:val="-4"/>
          <w:sz w:val="28"/>
          <w:szCs w:val="28"/>
        </w:rPr>
        <w:t>年我</w:t>
      </w:r>
      <w:r>
        <w:rPr>
          <w:rStyle w:val="18"/>
          <w:rFonts w:hint="eastAsia" w:ascii="仿宋_GB2312" w:hAnsi="楷体" w:eastAsia="仿宋_GB2312"/>
          <w:b w:val="0"/>
          <w:color w:val="000000" w:themeColor="text1"/>
          <w:spacing w:val="-4"/>
          <w:sz w:val="28"/>
          <w:szCs w:val="28"/>
          <w14:textFill>
            <w14:solidFill>
              <w14:schemeClr w14:val="tx1"/>
            </w14:solidFill>
          </w14:textFill>
        </w:rPr>
        <w:t>单位</w:t>
      </w:r>
      <w:r>
        <w:rPr>
          <w:rStyle w:val="18"/>
          <w:rFonts w:hint="eastAsia" w:ascii="仿宋_GB2312" w:hAnsi="宋体" w:eastAsia="仿宋_GB2312"/>
          <w:b w:val="0"/>
          <w:bCs w:val="0"/>
          <w:spacing w:val="-4"/>
          <w:sz w:val="28"/>
          <w:szCs w:val="28"/>
        </w:rPr>
        <w:t>资产总额</w:t>
      </w:r>
      <w:r>
        <w:rPr>
          <w:rStyle w:val="18"/>
          <w:rFonts w:hint="eastAsia" w:ascii="仿宋_GB2312" w:hAnsi="宋体" w:eastAsia="仿宋_GB2312"/>
          <w:b w:val="0"/>
          <w:bCs w:val="0"/>
          <w:spacing w:val="-4"/>
          <w:sz w:val="28"/>
          <w:szCs w:val="28"/>
          <w:lang w:val="en-US" w:eastAsia="zh-CN"/>
        </w:rPr>
        <w:t>2135.71</w:t>
      </w:r>
      <w:r>
        <w:rPr>
          <w:rStyle w:val="18"/>
          <w:rFonts w:hint="eastAsia" w:ascii="仿宋_GB2312" w:hAnsi="宋体" w:eastAsia="仿宋_GB2312"/>
          <w:b w:val="0"/>
          <w:bCs w:val="0"/>
          <w:spacing w:val="-4"/>
          <w:sz w:val="28"/>
          <w:szCs w:val="28"/>
        </w:rPr>
        <w:t>万元，其中流动资产</w:t>
      </w:r>
      <w:r>
        <w:rPr>
          <w:rStyle w:val="18"/>
          <w:rFonts w:hint="eastAsia" w:ascii="仿宋_GB2312" w:hAnsi="宋体" w:eastAsia="仿宋_GB2312"/>
          <w:b w:val="0"/>
          <w:bCs w:val="0"/>
          <w:spacing w:val="-4"/>
          <w:sz w:val="28"/>
          <w:szCs w:val="28"/>
          <w:lang w:val="en-US" w:eastAsia="zh-CN"/>
        </w:rPr>
        <w:t>755.85</w:t>
      </w:r>
      <w:r>
        <w:rPr>
          <w:rStyle w:val="18"/>
          <w:rFonts w:hint="eastAsia" w:ascii="仿宋_GB2312" w:hAnsi="宋体" w:eastAsia="仿宋_GB2312"/>
          <w:b w:val="0"/>
          <w:bCs w:val="0"/>
          <w:spacing w:val="-4"/>
          <w:sz w:val="28"/>
          <w:szCs w:val="28"/>
        </w:rPr>
        <w:t>万元（其中货币资金</w:t>
      </w:r>
      <w:r>
        <w:rPr>
          <w:rStyle w:val="18"/>
          <w:rFonts w:hint="eastAsia" w:ascii="仿宋_GB2312" w:hAnsi="宋体" w:eastAsia="仿宋_GB2312"/>
          <w:b w:val="0"/>
          <w:bCs w:val="0"/>
          <w:spacing w:val="-4"/>
          <w:sz w:val="28"/>
          <w:szCs w:val="28"/>
          <w:lang w:val="en-US" w:eastAsia="zh-CN"/>
        </w:rPr>
        <w:t>0.65万元，</w:t>
      </w:r>
      <w:r>
        <w:rPr>
          <w:rStyle w:val="18"/>
          <w:rFonts w:hint="eastAsia" w:ascii="仿宋_GB2312" w:hAnsi="宋体" w:eastAsia="仿宋_GB2312"/>
          <w:b w:val="0"/>
          <w:bCs w:val="0"/>
          <w:spacing w:val="-4"/>
          <w:sz w:val="28"/>
          <w:szCs w:val="28"/>
        </w:rPr>
        <w:t xml:space="preserve"> 其他应收款净额</w:t>
      </w:r>
      <w:r>
        <w:rPr>
          <w:rStyle w:val="18"/>
          <w:rFonts w:hint="eastAsia" w:ascii="仿宋_GB2312" w:hAnsi="宋体" w:eastAsia="仿宋_GB2312"/>
          <w:b w:val="0"/>
          <w:bCs w:val="0"/>
          <w:spacing w:val="-4"/>
          <w:sz w:val="28"/>
          <w:szCs w:val="28"/>
          <w:lang w:val="en-US" w:eastAsia="zh-CN"/>
        </w:rPr>
        <w:t>755.2</w:t>
      </w:r>
      <w:r>
        <w:rPr>
          <w:rStyle w:val="18"/>
          <w:rFonts w:hint="eastAsia" w:ascii="仿宋_GB2312" w:hAnsi="宋体" w:eastAsia="仿宋_GB2312"/>
          <w:b w:val="0"/>
          <w:bCs w:val="0"/>
          <w:spacing w:val="-4"/>
          <w:sz w:val="28"/>
          <w:szCs w:val="28"/>
        </w:rPr>
        <w:t>），固定资产净值</w:t>
      </w:r>
      <w:r>
        <w:rPr>
          <w:rStyle w:val="18"/>
          <w:rFonts w:hint="eastAsia" w:ascii="仿宋_GB2312" w:hAnsi="宋体" w:eastAsia="仿宋_GB2312"/>
          <w:b w:val="0"/>
          <w:bCs w:val="0"/>
          <w:spacing w:val="-4"/>
          <w:sz w:val="28"/>
          <w:szCs w:val="28"/>
          <w:lang w:val="en-US" w:eastAsia="zh-CN"/>
        </w:rPr>
        <w:t>305.9</w:t>
      </w:r>
      <w:r>
        <w:rPr>
          <w:rStyle w:val="18"/>
          <w:rFonts w:hint="eastAsia" w:ascii="仿宋_GB2312" w:hAnsi="宋体" w:eastAsia="仿宋_GB2312"/>
          <w:b w:val="0"/>
          <w:bCs w:val="0"/>
          <w:spacing w:val="-4"/>
          <w:sz w:val="28"/>
          <w:szCs w:val="28"/>
        </w:rPr>
        <w:t>万元（其中：土地、房屋及构筑物</w:t>
      </w:r>
      <w:r>
        <w:rPr>
          <w:rStyle w:val="18"/>
          <w:rFonts w:ascii="仿宋_GB2312" w:hAnsi="宋体" w:eastAsia="仿宋_GB2312"/>
          <w:b w:val="0"/>
          <w:bCs w:val="0"/>
          <w:spacing w:val="-4"/>
          <w:sz w:val="28"/>
          <w:szCs w:val="28"/>
        </w:rPr>
        <w:t xml:space="preserve"> </w:t>
      </w:r>
      <w:r>
        <w:rPr>
          <w:rStyle w:val="18"/>
          <w:rFonts w:hint="eastAsia" w:ascii="仿宋_GB2312" w:hAnsi="宋体" w:eastAsia="仿宋_GB2312"/>
          <w:b w:val="0"/>
          <w:bCs w:val="0"/>
          <w:spacing w:val="-4"/>
          <w:sz w:val="28"/>
          <w:szCs w:val="28"/>
          <w:lang w:val="en-US" w:eastAsia="zh-CN"/>
        </w:rPr>
        <w:t>185.92</w:t>
      </w:r>
      <w:r>
        <w:rPr>
          <w:rStyle w:val="18"/>
          <w:rFonts w:hint="eastAsia" w:ascii="仿宋_GB2312" w:hAnsi="宋体" w:eastAsia="仿宋_GB2312"/>
          <w:b w:val="0"/>
          <w:bCs w:val="0"/>
          <w:spacing w:val="-4"/>
          <w:sz w:val="28"/>
          <w:szCs w:val="28"/>
        </w:rPr>
        <w:t>万元，占固定资产净值的</w:t>
      </w:r>
      <w:r>
        <w:rPr>
          <w:rStyle w:val="18"/>
          <w:rFonts w:hint="eastAsia" w:ascii="仿宋_GB2312" w:hAnsi="宋体" w:eastAsia="仿宋_GB2312"/>
          <w:b w:val="0"/>
          <w:bCs w:val="0"/>
          <w:spacing w:val="-4"/>
          <w:sz w:val="28"/>
          <w:szCs w:val="28"/>
          <w:lang w:val="en-US" w:eastAsia="zh-CN"/>
        </w:rPr>
        <w:t>60.77</w:t>
      </w:r>
      <w:r>
        <w:rPr>
          <w:rStyle w:val="18"/>
          <w:rFonts w:hint="eastAsia" w:ascii="仿宋_GB2312" w:hAnsi="宋体" w:eastAsia="仿宋_GB2312"/>
          <w:b w:val="0"/>
          <w:bCs w:val="0"/>
          <w:spacing w:val="-4"/>
          <w:sz w:val="28"/>
          <w:szCs w:val="28"/>
        </w:rPr>
        <w:t>%；通用设备</w:t>
      </w:r>
      <w:r>
        <w:rPr>
          <w:rStyle w:val="18"/>
          <w:rFonts w:hint="eastAsia" w:ascii="仿宋_GB2312" w:hAnsi="宋体" w:eastAsia="仿宋_GB2312"/>
          <w:b w:val="0"/>
          <w:bCs w:val="0"/>
          <w:spacing w:val="-4"/>
          <w:sz w:val="28"/>
          <w:szCs w:val="28"/>
          <w:lang w:val="en-US" w:eastAsia="zh-CN"/>
        </w:rPr>
        <w:t>57.39</w:t>
      </w:r>
      <w:r>
        <w:rPr>
          <w:rStyle w:val="18"/>
          <w:rFonts w:hint="eastAsia" w:ascii="仿宋_GB2312" w:hAnsi="宋体" w:eastAsia="仿宋_GB2312"/>
          <w:b w:val="0"/>
          <w:bCs w:val="0"/>
          <w:spacing w:val="-4"/>
          <w:sz w:val="28"/>
          <w:szCs w:val="28"/>
        </w:rPr>
        <w:t>万元，占固定资产净值的</w:t>
      </w:r>
      <w:r>
        <w:rPr>
          <w:rStyle w:val="18"/>
          <w:rFonts w:hint="eastAsia" w:ascii="仿宋_GB2312" w:hAnsi="宋体" w:eastAsia="仿宋_GB2312"/>
          <w:b w:val="0"/>
          <w:bCs w:val="0"/>
          <w:spacing w:val="-4"/>
          <w:sz w:val="28"/>
          <w:szCs w:val="28"/>
          <w:lang w:val="en-US" w:eastAsia="zh-CN"/>
        </w:rPr>
        <w:t>20.76</w:t>
      </w:r>
      <w:r>
        <w:rPr>
          <w:rStyle w:val="18"/>
          <w:rFonts w:hint="eastAsia" w:ascii="仿宋_GB2312" w:hAnsi="宋体" w:eastAsia="仿宋_GB2312"/>
          <w:b w:val="0"/>
          <w:bCs w:val="0"/>
          <w:spacing w:val="-4"/>
          <w:sz w:val="28"/>
          <w:szCs w:val="28"/>
        </w:rPr>
        <w:t>%；专用设备</w:t>
      </w:r>
      <w:r>
        <w:rPr>
          <w:rStyle w:val="18"/>
          <w:rFonts w:ascii="仿宋_GB2312" w:hAnsi="宋体" w:eastAsia="仿宋_GB2312"/>
          <w:b w:val="0"/>
          <w:bCs w:val="0"/>
          <w:spacing w:val="-4"/>
          <w:sz w:val="28"/>
          <w:szCs w:val="28"/>
        </w:rPr>
        <w:t xml:space="preserve"> </w:t>
      </w:r>
      <w:r>
        <w:rPr>
          <w:rStyle w:val="18"/>
          <w:rFonts w:hint="eastAsia" w:ascii="仿宋_GB2312" w:hAnsi="宋体" w:eastAsia="仿宋_GB2312"/>
          <w:b w:val="0"/>
          <w:bCs w:val="0"/>
          <w:spacing w:val="-4"/>
          <w:sz w:val="28"/>
          <w:szCs w:val="28"/>
          <w:lang w:val="en-US" w:eastAsia="zh-CN"/>
        </w:rPr>
        <w:t>9.07</w:t>
      </w:r>
      <w:r>
        <w:rPr>
          <w:rStyle w:val="18"/>
          <w:rFonts w:ascii="仿宋_GB2312" w:hAnsi="宋体" w:eastAsia="仿宋_GB2312"/>
          <w:b w:val="0"/>
          <w:bCs w:val="0"/>
          <w:spacing w:val="-4"/>
          <w:sz w:val="28"/>
          <w:szCs w:val="28"/>
        </w:rPr>
        <w:t xml:space="preserve">  </w:t>
      </w:r>
      <w:r>
        <w:rPr>
          <w:rStyle w:val="18"/>
          <w:rFonts w:hint="eastAsia" w:ascii="仿宋_GB2312" w:hAnsi="宋体" w:eastAsia="仿宋_GB2312"/>
          <w:b w:val="0"/>
          <w:bCs w:val="0"/>
          <w:spacing w:val="-4"/>
          <w:sz w:val="28"/>
          <w:szCs w:val="28"/>
        </w:rPr>
        <w:t>万元，占固定资产净值的</w:t>
      </w:r>
      <w:r>
        <w:rPr>
          <w:rStyle w:val="18"/>
          <w:rFonts w:hint="eastAsia" w:ascii="仿宋_GB2312" w:hAnsi="宋体" w:eastAsia="仿宋_GB2312"/>
          <w:b w:val="0"/>
          <w:bCs w:val="0"/>
          <w:spacing w:val="-4"/>
          <w:sz w:val="28"/>
          <w:szCs w:val="28"/>
          <w:lang w:val="en-US" w:eastAsia="zh-CN"/>
        </w:rPr>
        <w:t>3.96</w:t>
      </w:r>
      <w:r>
        <w:rPr>
          <w:rStyle w:val="18"/>
          <w:rFonts w:hint="eastAsia" w:ascii="仿宋_GB2312" w:hAnsi="宋体" w:eastAsia="仿宋_GB2312"/>
          <w:b w:val="0"/>
          <w:bCs w:val="0"/>
          <w:spacing w:val="-4"/>
          <w:sz w:val="28"/>
          <w:szCs w:val="28"/>
        </w:rPr>
        <w:t>%</w:t>
      </w:r>
      <w:r>
        <w:rPr>
          <w:rStyle w:val="18"/>
          <w:rFonts w:hint="eastAsia" w:ascii="仿宋_GB2312" w:hAnsi="宋体" w:eastAsia="仿宋_GB2312"/>
          <w:b w:val="0"/>
          <w:bCs w:val="0"/>
          <w:spacing w:val="-4"/>
          <w:sz w:val="28"/>
          <w:szCs w:val="28"/>
          <w:lang w:eastAsia="zh-CN"/>
        </w:rPr>
        <w:t>，</w:t>
      </w:r>
      <w:r>
        <w:rPr>
          <w:rStyle w:val="18"/>
          <w:rFonts w:hint="eastAsia" w:ascii="仿宋_GB2312" w:hAnsi="宋体" w:eastAsia="仿宋_GB2312"/>
          <w:b w:val="0"/>
          <w:bCs w:val="0"/>
          <w:spacing w:val="-4"/>
          <w:sz w:val="28"/>
          <w:szCs w:val="28"/>
          <w:lang w:val="en-US" w:eastAsia="zh-CN"/>
        </w:rPr>
        <w:t>其他53.5万元</w:t>
      </w:r>
      <w:r>
        <w:rPr>
          <w:rStyle w:val="18"/>
          <w:rFonts w:hint="eastAsia" w:ascii="仿宋_GB2312" w:hAnsi="宋体" w:eastAsia="仿宋_GB2312"/>
          <w:b w:val="0"/>
          <w:bCs w:val="0"/>
          <w:spacing w:val="-4"/>
          <w:sz w:val="28"/>
          <w:szCs w:val="28"/>
        </w:rPr>
        <w:t>）。</w:t>
      </w:r>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本年度流动资产</w:t>
      </w:r>
      <w:r>
        <w:rPr>
          <w:rStyle w:val="18"/>
          <w:rFonts w:hint="eastAsia" w:ascii="仿宋_GB2312" w:hAnsi="宋体" w:eastAsia="仿宋_GB2312"/>
          <w:b w:val="0"/>
          <w:bCs w:val="0"/>
          <w:spacing w:val="-4"/>
          <w:sz w:val="28"/>
          <w:szCs w:val="28"/>
          <w:lang w:val="en-US" w:eastAsia="zh-CN"/>
        </w:rPr>
        <w:t>755.85</w:t>
      </w:r>
      <w:r>
        <w:rPr>
          <w:rStyle w:val="18"/>
          <w:rFonts w:hint="eastAsia" w:ascii="仿宋_GB2312" w:hAnsi="宋体" w:eastAsia="仿宋_GB2312"/>
          <w:b w:val="0"/>
          <w:bCs w:val="0"/>
          <w:spacing w:val="-4"/>
          <w:sz w:val="28"/>
          <w:szCs w:val="28"/>
        </w:rPr>
        <w:t>万元，比上年增加减少</w:t>
      </w:r>
      <w:r>
        <w:rPr>
          <w:rStyle w:val="18"/>
          <w:rFonts w:hint="eastAsia" w:ascii="仿宋_GB2312" w:hAnsi="宋体" w:eastAsia="仿宋_GB2312"/>
          <w:b w:val="0"/>
          <w:bCs w:val="0"/>
          <w:spacing w:val="-4"/>
          <w:sz w:val="28"/>
          <w:szCs w:val="28"/>
          <w:lang w:val="en-US" w:eastAsia="zh-CN"/>
        </w:rPr>
        <w:t>264.54</w:t>
      </w:r>
      <w:r>
        <w:rPr>
          <w:rStyle w:val="18"/>
          <w:rFonts w:hint="eastAsia" w:ascii="仿宋_GB2312" w:hAnsi="宋体" w:eastAsia="仿宋_GB2312"/>
          <w:b w:val="0"/>
          <w:bCs w:val="0"/>
          <w:spacing w:val="-4"/>
          <w:sz w:val="28"/>
          <w:szCs w:val="28"/>
        </w:rPr>
        <w:t>万元，原因是：</w:t>
      </w:r>
      <w:r>
        <w:rPr>
          <w:rStyle w:val="18"/>
          <w:rFonts w:hint="eastAsia" w:ascii="仿宋_GB2312" w:hAnsi="宋体" w:eastAsia="仿宋_GB2312"/>
          <w:b w:val="0"/>
          <w:bCs w:val="0"/>
          <w:spacing w:val="-4"/>
          <w:sz w:val="28"/>
          <w:szCs w:val="28"/>
          <w:lang w:val="en-US" w:eastAsia="zh-CN"/>
        </w:rPr>
        <w:t>银行存款结余减少，长期借款清理</w:t>
      </w:r>
      <w:r>
        <w:rPr>
          <w:rStyle w:val="18"/>
          <w:rFonts w:hint="eastAsia" w:ascii="仿宋_GB2312" w:hAnsi="宋体" w:eastAsia="仿宋_GB2312"/>
          <w:b w:val="0"/>
          <w:bCs w:val="0"/>
          <w:spacing w:val="-4"/>
          <w:sz w:val="28"/>
          <w:szCs w:val="28"/>
        </w:rPr>
        <w:t>。</w:t>
      </w:r>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本年度固定资产</w:t>
      </w:r>
      <w:r>
        <w:rPr>
          <w:rStyle w:val="18"/>
          <w:rFonts w:hint="eastAsia" w:ascii="仿宋_GB2312" w:hAnsi="宋体" w:eastAsia="仿宋_GB2312"/>
          <w:b w:val="0"/>
          <w:bCs w:val="0"/>
          <w:spacing w:val="-4"/>
          <w:sz w:val="28"/>
          <w:szCs w:val="28"/>
          <w:lang w:val="en-US" w:eastAsia="zh-CN"/>
        </w:rPr>
        <w:t>720.20</w:t>
      </w:r>
      <w:r>
        <w:rPr>
          <w:rStyle w:val="18"/>
          <w:rFonts w:hint="eastAsia" w:ascii="仿宋_GB2312" w:hAnsi="宋体" w:eastAsia="仿宋_GB2312"/>
          <w:b w:val="0"/>
          <w:bCs w:val="0"/>
          <w:spacing w:val="-4"/>
          <w:sz w:val="28"/>
          <w:szCs w:val="28"/>
        </w:rPr>
        <w:t>万元，比上年增加</w:t>
      </w:r>
      <w:r>
        <w:rPr>
          <w:rStyle w:val="18"/>
          <w:rFonts w:hint="eastAsia" w:ascii="仿宋_GB2312" w:hAnsi="宋体" w:eastAsia="仿宋_GB2312"/>
          <w:b w:val="0"/>
          <w:bCs w:val="0"/>
          <w:spacing w:val="-4"/>
          <w:sz w:val="28"/>
          <w:szCs w:val="28"/>
          <w:lang w:val="en-US" w:eastAsia="zh-CN"/>
        </w:rPr>
        <w:t>0</w:t>
      </w:r>
      <w:r>
        <w:rPr>
          <w:rStyle w:val="18"/>
          <w:rFonts w:hint="eastAsia" w:ascii="仿宋_GB2312" w:hAnsi="宋体" w:eastAsia="仿宋_GB2312"/>
          <w:b w:val="0"/>
          <w:bCs w:val="0"/>
          <w:spacing w:val="-4"/>
          <w:sz w:val="28"/>
          <w:szCs w:val="28"/>
        </w:rPr>
        <w:t>万元，原因是：</w:t>
      </w:r>
      <w:r>
        <w:rPr>
          <w:rStyle w:val="18"/>
          <w:rFonts w:hint="eastAsia" w:ascii="仿宋_GB2312" w:hAnsi="宋体" w:eastAsia="仿宋_GB2312"/>
          <w:b w:val="0"/>
          <w:bCs w:val="0"/>
          <w:spacing w:val="-4"/>
          <w:sz w:val="28"/>
          <w:szCs w:val="28"/>
          <w:lang w:val="en-US" w:eastAsia="zh-CN"/>
        </w:rPr>
        <w:t>本年度未增加固定资产</w:t>
      </w:r>
      <w:r>
        <w:rPr>
          <w:rStyle w:val="18"/>
          <w:rFonts w:hint="eastAsia" w:ascii="仿宋_GB2312" w:hAnsi="宋体" w:eastAsia="仿宋_GB2312"/>
          <w:b w:val="0"/>
          <w:bCs w:val="0"/>
          <w:spacing w:val="-4"/>
          <w:sz w:val="28"/>
          <w:szCs w:val="28"/>
        </w:rPr>
        <w:t>。</w:t>
      </w:r>
    </w:p>
    <w:p>
      <w:pPr>
        <w:snapToGrid w:val="0"/>
        <w:spacing w:line="360" w:lineRule="auto"/>
        <w:ind w:firstLine="544" w:firstLineChars="200"/>
        <w:rPr>
          <w:rStyle w:val="18"/>
          <w:rFonts w:ascii="宋体" w:hAnsi="宋体" w:eastAsia="宋体"/>
          <w:bCs w:val="0"/>
          <w:color w:val="FF0000"/>
          <w:spacing w:val="-4"/>
          <w:sz w:val="28"/>
          <w:szCs w:val="28"/>
        </w:rPr>
      </w:pPr>
      <w:r>
        <w:rPr>
          <w:rStyle w:val="18"/>
          <w:rFonts w:hint="eastAsia" w:ascii="仿宋_GB2312" w:hAnsi="宋体" w:eastAsia="仿宋_GB2312"/>
          <w:b w:val="0"/>
          <w:bCs w:val="0"/>
          <w:spacing w:val="-4"/>
          <w:sz w:val="28"/>
          <w:szCs w:val="28"/>
        </w:rPr>
        <w:t>实际在用固定资产</w:t>
      </w:r>
      <w:r>
        <w:rPr>
          <w:rStyle w:val="18"/>
          <w:rFonts w:hint="eastAsia" w:ascii="仿宋_GB2312" w:hAnsi="宋体" w:eastAsia="仿宋_GB2312"/>
          <w:b w:val="0"/>
          <w:bCs w:val="0"/>
          <w:spacing w:val="-4"/>
          <w:sz w:val="28"/>
          <w:szCs w:val="28"/>
          <w:lang w:val="en-US" w:eastAsia="zh-CN"/>
        </w:rPr>
        <w:t>720.20</w:t>
      </w:r>
      <w:r>
        <w:rPr>
          <w:rStyle w:val="18"/>
          <w:rFonts w:hint="eastAsia" w:ascii="仿宋_GB2312" w:hAnsi="宋体" w:eastAsia="仿宋_GB2312"/>
          <w:b w:val="0"/>
          <w:bCs w:val="0"/>
          <w:spacing w:val="-4"/>
          <w:sz w:val="28"/>
          <w:szCs w:val="28"/>
        </w:rPr>
        <w:t>万元，固定资产利用率</w:t>
      </w:r>
      <w:r>
        <w:rPr>
          <w:rStyle w:val="18"/>
          <w:rFonts w:hint="eastAsia" w:ascii="仿宋_GB2312" w:hAnsi="宋体" w:eastAsia="仿宋_GB2312"/>
          <w:b w:val="0"/>
          <w:bCs w:val="0"/>
          <w:spacing w:val="-4"/>
          <w:sz w:val="28"/>
          <w:szCs w:val="28"/>
          <w:lang w:val="en-US" w:eastAsia="zh-CN"/>
        </w:rPr>
        <w:t>100</w:t>
      </w:r>
      <w:r>
        <w:rPr>
          <w:rStyle w:val="18"/>
          <w:rFonts w:hint="eastAsia" w:ascii="仿宋_GB2312" w:hAnsi="宋体" w:eastAsia="仿宋_GB2312"/>
          <w:b w:val="0"/>
          <w:bCs w:val="0"/>
          <w:spacing w:val="-4"/>
          <w:sz w:val="28"/>
          <w:szCs w:val="28"/>
        </w:rPr>
        <w:t>%。</w:t>
      </w:r>
    </w:p>
    <w:p>
      <w:pPr>
        <w:pStyle w:val="6"/>
        <w:spacing w:line="360" w:lineRule="auto"/>
        <w:rPr>
          <w:rStyle w:val="18"/>
          <w:rFonts w:ascii="仿宋" w:hAnsi="仿宋" w:eastAsia="仿宋"/>
          <w:b/>
          <w:bCs/>
        </w:rPr>
      </w:pPr>
      <w:bookmarkStart w:id="26" w:name="_Toc70450312"/>
      <w:r>
        <w:rPr>
          <w:rStyle w:val="18"/>
          <w:rFonts w:hint="eastAsia" w:ascii="仿宋" w:hAnsi="仿宋" w:eastAsia="仿宋"/>
          <w:b/>
          <w:bCs/>
        </w:rPr>
        <w:t>（二）资产管理情况</w:t>
      </w:r>
      <w:bookmarkEnd w:id="26"/>
    </w:p>
    <w:p>
      <w:pPr>
        <w:spacing w:line="360" w:lineRule="auto"/>
        <w:ind w:firstLine="544" w:firstLineChars="200"/>
        <w:rPr>
          <w:rStyle w:val="18"/>
          <w:rFonts w:ascii="仿宋_GB2312" w:hAnsi="宋体" w:eastAsia="仿宋_GB2312"/>
          <w:b w:val="0"/>
          <w:color w:val="auto"/>
          <w:spacing w:val="-4"/>
          <w:sz w:val="28"/>
          <w:szCs w:val="28"/>
        </w:rPr>
      </w:pPr>
      <w:r>
        <w:rPr>
          <w:rStyle w:val="18"/>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8"/>
          <w:rFonts w:hint="eastAsia" w:ascii="仿宋_GB2312" w:hAnsi="宋体" w:eastAsia="仿宋_GB2312"/>
          <w:b w:val="0"/>
          <w:color w:val="auto"/>
          <w:spacing w:val="-4"/>
          <w:sz w:val="28"/>
          <w:szCs w:val="28"/>
        </w:rPr>
      </w:pPr>
      <w:r>
        <w:rPr>
          <w:rStyle w:val="18"/>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8"/>
          <w:rFonts w:ascii="仿宋_GB2312" w:hAnsi="宋体" w:eastAsia="仿宋_GB2312"/>
          <w:b w:val="0"/>
          <w:spacing w:val="-4"/>
          <w:sz w:val="28"/>
          <w:szCs w:val="28"/>
        </w:rPr>
      </w:pPr>
    </w:p>
    <w:p>
      <w:pPr>
        <w:pStyle w:val="5"/>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6"/>
        <w:spacing w:line="360" w:lineRule="auto"/>
        <w:ind w:firstLine="643" w:firstLineChars="200"/>
        <w:rPr>
          <w:rStyle w:val="18"/>
          <w:rFonts w:ascii="仿宋" w:hAnsi="仿宋" w:eastAsia="仿宋"/>
          <w:b/>
          <w:bCs/>
        </w:rPr>
      </w:pPr>
      <w:bookmarkStart w:id="28" w:name="_Toc70450314"/>
      <w:r>
        <w:rPr>
          <w:rStyle w:val="18"/>
          <w:rFonts w:hint="eastAsia" w:ascii="仿宋" w:hAnsi="仿宋" w:eastAsia="仿宋"/>
          <w:b/>
          <w:bCs/>
        </w:rPr>
        <w:t>（一）经济效益评价</w:t>
      </w:r>
      <w:bookmarkEnd w:id="28"/>
    </w:p>
    <w:p>
      <w:pPr>
        <w:spacing w:line="360" w:lineRule="auto"/>
        <w:ind w:firstLine="544" w:firstLineChars="200"/>
        <w:rPr>
          <w:rStyle w:val="18"/>
          <w:rFonts w:hint="eastAsia" w:ascii="仿宋_GB2312" w:hAnsi="宋体" w:eastAsia="仿宋_GB2312" w:cs="Times New Roman"/>
          <w:b w:val="0"/>
          <w:bCs w:val="0"/>
          <w:spacing w:val="-4"/>
          <w:sz w:val="28"/>
          <w:szCs w:val="28"/>
        </w:rPr>
      </w:pPr>
      <w:r>
        <w:rPr>
          <w:rStyle w:val="18"/>
          <w:rFonts w:hint="eastAsia" w:ascii="仿宋_GB2312" w:hAnsi="宋体" w:eastAsia="仿宋_GB2312" w:cs="Times New Roman"/>
          <w:b w:val="0"/>
          <w:bCs w:val="0"/>
          <w:spacing w:val="-4"/>
          <w:sz w:val="28"/>
          <w:szCs w:val="28"/>
        </w:rPr>
        <w:t>202</w:t>
      </w:r>
      <w:r>
        <w:rPr>
          <w:rStyle w:val="18"/>
          <w:rFonts w:hint="eastAsia" w:ascii="仿宋_GB2312" w:hAnsi="宋体" w:eastAsia="仿宋_GB2312" w:cs="Times New Roman"/>
          <w:b w:val="0"/>
          <w:bCs w:val="0"/>
          <w:spacing w:val="-4"/>
          <w:sz w:val="28"/>
          <w:szCs w:val="28"/>
          <w:lang w:val="en-US" w:eastAsia="zh-CN"/>
        </w:rPr>
        <w:t>1</w:t>
      </w:r>
      <w:r>
        <w:rPr>
          <w:rStyle w:val="18"/>
          <w:rFonts w:hint="eastAsia" w:ascii="仿宋_GB2312" w:hAnsi="宋体" w:eastAsia="仿宋_GB2312" w:cs="Times New Roman"/>
          <w:b w:val="0"/>
          <w:bCs w:val="0"/>
          <w:spacing w:val="-4"/>
          <w:sz w:val="28"/>
          <w:szCs w:val="28"/>
        </w:rPr>
        <w:t>年度我单位年初预算安排</w:t>
      </w:r>
      <w:r>
        <w:rPr>
          <w:rStyle w:val="18"/>
          <w:rFonts w:hint="eastAsia" w:ascii="仿宋_GB2312" w:hAnsi="宋体" w:eastAsia="仿宋_GB2312" w:cs="Times New Roman"/>
          <w:b w:val="0"/>
          <w:bCs w:val="0"/>
          <w:spacing w:val="-4"/>
          <w:sz w:val="28"/>
          <w:szCs w:val="28"/>
          <w:lang w:val="en-US" w:eastAsia="zh-CN"/>
        </w:rPr>
        <w:t>1450.22</w:t>
      </w:r>
      <w:r>
        <w:rPr>
          <w:rStyle w:val="18"/>
          <w:rFonts w:hint="eastAsia" w:ascii="仿宋_GB2312" w:hAnsi="宋体" w:eastAsia="仿宋_GB2312" w:cs="Times New Roman"/>
          <w:b w:val="0"/>
          <w:bCs w:val="0"/>
          <w:spacing w:val="-4"/>
          <w:sz w:val="28"/>
          <w:szCs w:val="28"/>
        </w:rPr>
        <w:t>万元，年中调整</w:t>
      </w:r>
      <w:r>
        <w:rPr>
          <w:rStyle w:val="18"/>
          <w:rFonts w:hint="eastAsia" w:ascii="仿宋_GB2312" w:hAnsi="宋体" w:eastAsia="仿宋_GB2312" w:cs="Times New Roman"/>
          <w:b w:val="0"/>
          <w:bCs w:val="0"/>
          <w:spacing w:val="-4"/>
          <w:sz w:val="28"/>
          <w:szCs w:val="28"/>
          <w:lang w:val="en-US" w:eastAsia="zh-CN"/>
        </w:rPr>
        <w:t>2715.32</w:t>
      </w:r>
      <w:r>
        <w:rPr>
          <w:rStyle w:val="18"/>
          <w:rFonts w:hint="eastAsia" w:ascii="仿宋_GB2312" w:hAnsi="宋体" w:eastAsia="仿宋_GB2312" w:cs="Times New Roman"/>
          <w:b w:val="0"/>
          <w:bCs w:val="0"/>
          <w:spacing w:val="-4"/>
          <w:sz w:val="28"/>
          <w:szCs w:val="28"/>
        </w:rPr>
        <w:t>万元，截止12月底支出</w:t>
      </w:r>
      <w:r>
        <w:rPr>
          <w:rStyle w:val="18"/>
          <w:rFonts w:hint="eastAsia" w:ascii="仿宋_GB2312" w:hAnsi="宋体" w:eastAsia="仿宋_GB2312" w:cs="Times New Roman"/>
          <w:b w:val="0"/>
          <w:bCs w:val="0"/>
          <w:spacing w:val="-4"/>
          <w:sz w:val="28"/>
          <w:szCs w:val="28"/>
          <w:lang w:val="en-US" w:eastAsia="zh-CN"/>
        </w:rPr>
        <w:t>4165.54</w:t>
      </w:r>
      <w:r>
        <w:rPr>
          <w:rStyle w:val="18"/>
          <w:rFonts w:hint="eastAsia" w:ascii="仿宋_GB2312" w:hAnsi="宋体" w:eastAsia="仿宋_GB2312" w:cs="Times New Roman"/>
          <w:b w:val="0"/>
          <w:bCs w:val="0"/>
          <w:spacing w:val="-4"/>
          <w:sz w:val="28"/>
          <w:szCs w:val="28"/>
        </w:rPr>
        <w:t>万元，执行率</w:t>
      </w:r>
      <w:r>
        <w:rPr>
          <w:rStyle w:val="18"/>
          <w:rFonts w:hint="eastAsia" w:ascii="仿宋_GB2312" w:hAnsi="宋体" w:eastAsia="仿宋_GB2312" w:cs="Times New Roman"/>
          <w:b w:val="0"/>
          <w:bCs w:val="0"/>
          <w:spacing w:val="-4"/>
          <w:sz w:val="28"/>
          <w:szCs w:val="28"/>
          <w:lang w:val="en-US" w:eastAsia="zh-CN"/>
        </w:rPr>
        <w:t>100</w:t>
      </w:r>
      <w:r>
        <w:rPr>
          <w:rStyle w:val="18"/>
          <w:rFonts w:hint="eastAsia" w:ascii="仿宋_GB2312" w:hAnsi="宋体" w:eastAsia="仿宋_GB2312" w:cs="Times New Roman"/>
          <w:b w:val="0"/>
          <w:bCs w:val="0"/>
          <w:spacing w:val="-4"/>
          <w:sz w:val="28"/>
          <w:szCs w:val="28"/>
        </w:rPr>
        <w:t>%。</w:t>
      </w:r>
    </w:p>
    <w:p>
      <w:pPr>
        <w:spacing w:line="360" w:lineRule="auto"/>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1</w:t>
      </w:r>
      <w:r>
        <w:rPr>
          <w:rStyle w:val="18"/>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2</w:t>
      </w:r>
      <w:r>
        <w:rPr>
          <w:rStyle w:val="18"/>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6"/>
        <w:spacing w:line="360" w:lineRule="auto"/>
        <w:ind w:firstLine="643" w:firstLineChars="200"/>
        <w:rPr>
          <w:rStyle w:val="18"/>
          <w:rFonts w:ascii="仿宋" w:hAnsi="仿宋" w:eastAsia="仿宋"/>
          <w:b/>
          <w:bCs/>
        </w:rPr>
      </w:pPr>
      <w:bookmarkStart w:id="29" w:name="_Toc70450315"/>
      <w:r>
        <w:rPr>
          <w:rStyle w:val="18"/>
          <w:rFonts w:hint="eastAsia" w:ascii="仿宋" w:hAnsi="仿宋" w:eastAsia="仿宋"/>
          <w:b/>
          <w:bCs/>
        </w:rPr>
        <w:t>（二）效率性评价</w:t>
      </w:r>
      <w:bookmarkEnd w:id="29"/>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w:t>
      </w:r>
      <w:r>
        <w:rPr>
          <w:rStyle w:val="18"/>
          <w:rFonts w:hint="eastAsia" w:ascii="仿宋_GB2312" w:hAnsi="宋体" w:eastAsia="仿宋_GB2312"/>
          <w:b w:val="0"/>
          <w:bCs w:val="0"/>
          <w:spacing w:val="-4"/>
          <w:sz w:val="28"/>
          <w:szCs w:val="28"/>
          <w:lang w:val="en-US" w:eastAsia="zh-CN"/>
        </w:rPr>
        <w:t>1</w:t>
      </w:r>
      <w:r>
        <w:rPr>
          <w:rStyle w:val="18"/>
          <w:rFonts w:hint="eastAsia" w:ascii="仿宋_GB2312" w:hAnsi="宋体" w:eastAsia="仿宋_GB2312"/>
          <w:b w:val="0"/>
          <w:bCs w:val="0"/>
          <w:spacing w:val="-4"/>
          <w:sz w:val="28"/>
          <w:szCs w:val="28"/>
        </w:rPr>
        <w:t>年，在</w:t>
      </w:r>
      <w:r>
        <w:rPr>
          <w:rStyle w:val="18"/>
          <w:rFonts w:hint="eastAsia" w:ascii="仿宋_GB2312" w:hAnsi="宋体" w:eastAsia="仿宋_GB2312"/>
          <w:b w:val="0"/>
          <w:bCs w:val="0"/>
          <w:spacing w:val="-4"/>
          <w:sz w:val="28"/>
          <w:szCs w:val="28"/>
          <w:lang w:val="en-US" w:eastAsia="zh-CN"/>
        </w:rPr>
        <w:t>特克斯县阔克铁热克乡</w:t>
      </w:r>
      <w:r>
        <w:rPr>
          <w:rStyle w:val="18"/>
          <w:rFonts w:hint="eastAsia" w:ascii="仿宋_GB2312" w:hAnsi="宋体" w:eastAsia="仿宋_GB2312"/>
          <w:b w:val="0"/>
          <w:bCs w:val="0"/>
          <w:spacing w:val="-4"/>
          <w:sz w:val="28"/>
          <w:szCs w:val="28"/>
        </w:rPr>
        <w:t>的大力支持和</w:t>
      </w:r>
      <w:r>
        <w:rPr>
          <w:rStyle w:val="18"/>
          <w:rFonts w:hint="eastAsia" w:ascii="仿宋_GB2312" w:hAnsi="宋体" w:eastAsia="仿宋_GB2312"/>
          <w:b w:val="0"/>
          <w:bCs w:val="0"/>
          <w:spacing w:val="-4"/>
          <w:sz w:val="28"/>
          <w:szCs w:val="28"/>
          <w:lang w:val="en-US" w:eastAsia="zh-CN"/>
        </w:rPr>
        <w:t>上级部门</w:t>
      </w:r>
      <w:r>
        <w:rPr>
          <w:rStyle w:val="18"/>
          <w:rFonts w:hint="eastAsia" w:ascii="仿宋_GB2312" w:hAnsi="宋体" w:eastAsia="仿宋_GB2312"/>
          <w:b w:val="0"/>
          <w:bCs w:val="0"/>
          <w:spacing w:val="-4"/>
          <w:sz w:val="28"/>
          <w:szCs w:val="28"/>
        </w:rPr>
        <w:t>的正确领导下，我</w:t>
      </w:r>
      <w:r>
        <w:rPr>
          <w:rStyle w:val="18"/>
          <w:rFonts w:hint="eastAsia" w:ascii="仿宋_GB2312" w:hAnsi="楷体" w:eastAsia="仿宋_GB2312"/>
          <w:b w:val="0"/>
          <w:color w:val="auto"/>
          <w:spacing w:val="-4"/>
          <w:sz w:val="28"/>
          <w:szCs w:val="28"/>
        </w:rPr>
        <w:t>单位</w:t>
      </w:r>
      <w:r>
        <w:rPr>
          <w:rStyle w:val="18"/>
          <w:rFonts w:hint="eastAsia" w:ascii="仿宋_GB2312" w:hAnsi="宋体" w:eastAsia="仿宋_GB2312"/>
          <w:b w:val="0"/>
          <w:bCs w:val="0"/>
          <w:spacing w:val="-4"/>
          <w:sz w:val="28"/>
          <w:szCs w:val="28"/>
        </w:rPr>
        <w:t>迎难而上、务实重干，积极推动各项</w:t>
      </w:r>
      <w:r>
        <w:rPr>
          <w:rStyle w:val="18"/>
          <w:rFonts w:hint="eastAsia" w:ascii="仿宋_GB2312" w:hAnsi="宋体" w:eastAsia="仿宋_GB2312"/>
          <w:b w:val="0"/>
          <w:bCs w:val="0"/>
          <w:spacing w:val="-4"/>
          <w:sz w:val="28"/>
          <w:szCs w:val="28"/>
          <w:lang w:val="en-US" w:eastAsia="zh-CN"/>
        </w:rPr>
        <w:t>财政</w:t>
      </w:r>
      <w:r>
        <w:rPr>
          <w:rStyle w:val="18"/>
          <w:rFonts w:hint="eastAsia" w:ascii="仿宋_GB2312" w:hAnsi="宋体" w:eastAsia="仿宋_GB2312"/>
          <w:b w:val="0"/>
          <w:bCs w:val="0"/>
          <w:spacing w:val="-4"/>
          <w:sz w:val="28"/>
          <w:szCs w:val="28"/>
        </w:rPr>
        <w:t>工作取得了新的进展，为促进经济持续健康发展与社会和谐稳定提供了有力的</w:t>
      </w:r>
      <w:r>
        <w:rPr>
          <w:rStyle w:val="18"/>
          <w:rFonts w:hint="eastAsia" w:ascii="仿宋_GB2312" w:hAnsi="宋体" w:eastAsia="仿宋_GB2312"/>
          <w:b w:val="0"/>
          <w:bCs w:val="0"/>
          <w:spacing w:val="-4"/>
          <w:sz w:val="28"/>
          <w:szCs w:val="28"/>
          <w:lang w:val="en-US" w:eastAsia="zh-CN"/>
        </w:rPr>
        <w:t>财政</w:t>
      </w:r>
      <w:r>
        <w:rPr>
          <w:rStyle w:val="18"/>
          <w:rFonts w:hint="eastAsia" w:ascii="仿宋_GB2312" w:hAnsi="宋体" w:eastAsia="仿宋_GB2312"/>
          <w:b w:val="0"/>
          <w:bCs w:val="0"/>
          <w:spacing w:val="-4"/>
          <w:sz w:val="28"/>
          <w:szCs w:val="28"/>
        </w:rPr>
        <w:t>支撑和保障。</w:t>
      </w:r>
    </w:p>
    <w:p>
      <w:pPr>
        <w:spacing w:line="360" w:lineRule="auto"/>
        <w:ind w:firstLine="544" w:firstLineChars="200"/>
        <w:rPr>
          <w:rStyle w:val="18"/>
          <w:rFonts w:hint="default" w:ascii="仿宋_GB2312" w:hAnsi="宋体" w:eastAsia="仿宋_GB2312"/>
          <w:b w:val="0"/>
          <w:bCs w:val="0"/>
          <w:spacing w:val="-4"/>
          <w:sz w:val="28"/>
          <w:szCs w:val="28"/>
          <w:lang w:val="en-US" w:eastAsia="zh-CN"/>
        </w:rPr>
      </w:pPr>
      <w:r>
        <w:rPr>
          <w:rStyle w:val="18"/>
          <w:rFonts w:hint="eastAsia" w:ascii="仿宋_GB2312" w:hAnsi="宋体" w:eastAsia="仿宋_GB2312"/>
          <w:b w:val="0"/>
          <w:bCs w:val="0"/>
          <w:spacing w:val="-4"/>
          <w:sz w:val="28"/>
          <w:szCs w:val="28"/>
        </w:rPr>
        <w:t>1、圆满完成</w:t>
      </w:r>
      <w:r>
        <w:rPr>
          <w:rStyle w:val="18"/>
          <w:rFonts w:hint="eastAsia" w:ascii="仿宋_GB2312" w:hAnsi="宋体" w:eastAsia="仿宋_GB2312"/>
          <w:b w:val="0"/>
          <w:bCs w:val="0"/>
          <w:spacing w:val="-4"/>
          <w:sz w:val="28"/>
          <w:szCs w:val="28"/>
          <w:lang w:val="en-US" w:eastAsia="zh-CN"/>
        </w:rPr>
        <w:t>年初预算安排的各项</w:t>
      </w:r>
      <w:r>
        <w:rPr>
          <w:rStyle w:val="18"/>
          <w:rFonts w:hint="eastAsia" w:ascii="仿宋_GB2312" w:hAnsi="宋体" w:eastAsia="仿宋_GB2312"/>
          <w:b w:val="0"/>
          <w:bCs w:val="0"/>
          <w:spacing w:val="-4"/>
          <w:sz w:val="28"/>
          <w:szCs w:val="28"/>
        </w:rPr>
        <w:t>工作</w:t>
      </w:r>
      <w:r>
        <w:rPr>
          <w:rStyle w:val="18"/>
          <w:rFonts w:hint="eastAsia" w:ascii="仿宋_GB2312" w:hAnsi="宋体" w:eastAsia="仿宋_GB2312"/>
          <w:b w:val="0"/>
          <w:bCs w:val="0"/>
          <w:spacing w:val="-4"/>
          <w:sz w:val="28"/>
          <w:szCs w:val="28"/>
          <w:lang w:eastAsia="zh-CN"/>
        </w:rPr>
        <w:t>，</w:t>
      </w:r>
      <w:r>
        <w:rPr>
          <w:rStyle w:val="18"/>
          <w:rFonts w:hint="eastAsia" w:ascii="仿宋_GB2312" w:hAnsi="宋体" w:eastAsia="仿宋_GB2312"/>
          <w:b w:val="0"/>
          <w:bCs w:val="0"/>
          <w:spacing w:val="-4"/>
          <w:sz w:val="28"/>
          <w:szCs w:val="28"/>
          <w:lang w:val="en-US" w:eastAsia="zh-CN"/>
        </w:rPr>
        <w:t>按时完成2021年预算支出，按时完成2021年项目资金支付，按时完成2021年7个项目竣工，按时完成其他各项类财务日常工作。</w:t>
      </w:r>
    </w:p>
    <w:p>
      <w:pPr>
        <w:tabs>
          <w:tab w:val="left" w:pos="312"/>
        </w:tabs>
        <w:spacing w:line="360" w:lineRule="auto"/>
        <w:ind w:firstLine="544" w:firstLineChars="200"/>
        <w:rPr>
          <w:rStyle w:val="18"/>
          <w:rFonts w:hint="eastAsia" w:ascii="仿宋_GB2312" w:hAnsi="宋体" w:eastAsia="仿宋_GB2312"/>
          <w:b w:val="0"/>
          <w:bCs w:val="0"/>
          <w:spacing w:val="-4"/>
          <w:sz w:val="28"/>
          <w:szCs w:val="28"/>
          <w:lang w:eastAsia="zh-CN"/>
        </w:rPr>
      </w:pPr>
      <w:r>
        <w:rPr>
          <w:rStyle w:val="18"/>
          <w:rFonts w:ascii="仿宋_GB2312" w:hAnsi="宋体" w:eastAsia="仿宋_GB2312"/>
          <w:b w:val="0"/>
          <w:bCs w:val="0"/>
          <w:spacing w:val="-4"/>
          <w:sz w:val="28"/>
          <w:szCs w:val="28"/>
        </w:rPr>
        <w:t>2</w:t>
      </w:r>
      <w:r>
        <w:rPr>
          <w:rStyle w:val="18"/>
          <w:rFonts w:hint="eastAsia" w:ascii="仿宋_GB2312" w:hAnsi="宋体" w:eastAsia="仿宋_GB2312"/>
          <w:b w:val="0"/>
          <w:bCs w:val="0"/>
          <w:spacing w:val="-4"/>
          <w:sz w:val="28"/>
          <w:szCs w:val="28"/>
        </w:rPr>
        <w:t>、</w:t>
      </w:r>
      <w:r>
        <w:rPr>
          <w:rStyle w:val="18"/>
          <w:rFonts w:hint="eastAsia" w:ascii="仿宋_GB2312" w:hAnsi="宋体" w:eastAsia="仿宋_GB2312"/>
          <w:b w:val="0"/>
          <w:bCs w:val="0"/>
          <w:spacing w:val="-4"/>
          <w:sz w:val="28"/>
          <w:szCs w:val="28"/>
          <w:lang w:val="en-US" w:eastAsia="zh-CN"/>
        </w:rPr>
        <w:t>2021年提前完成7个项目的进度任务，提前完成各类财务工作，财务绩效考核提前完成</w:t>
      </w:r>
      <w:r>
        <w:rPr>
          <w:rStyle w:val="18"/>
          <w:rFonts w:hint="eastAsia" w:ascii="仿宋_GB2312" w:hAnsi="宋体" w:eastAsia="仿宋_GB2312"/>
          <w:b w:val="0"/>
          <w:bCs w:val="0"/>
          <w:spacing w:val="-4"/>
          <w:sz w:val="28"/>
          <w:szCs w:val="28"/>
          <w:lang w:eastAsia="zh-CN"/>
        </w:rPr>
        <w:t>。</w:t>
      </w:r>
    </w:p>
    <w:p>
      <w:pPr>
        <w:pStyle w:val="22"/>
        <w:numPr>
          <w:ilvl w:val="0"/>
          <w:numId w:val="0"/>
        </w:numPr>
        <w:tabs>
          <w:tab w:val="left" w:pos="312"/>
        </w:tabs>
        <w:spacing w:line="360" w:lineRule="auto"/>
        <w:ind w:firstLine="544" w:firstLineChars="200"/>
        <w:jc w:val="left"/>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lang w:val="en-US" w:eastAsia="zh-CN"/>
        </w:rPr>
        <w:t>3、2021年阔克铁热克乡财务实施，财务公开，财务绩效按时完成成效</w:t>
      </w:r>
      <w:r>
        <w:rPr>
          <w:rStyle w:val="18"/>
          <w:rFonts w:hint="eastAsia" w:ascii="仿宋_GB2312" w:hAnsi="宋体" w:eastAsia="仿宋_GB2312"/>
          <w:b w:val="0"/>
          <w:bCs w:val="0"/>
          <w:spacing w:val="-4"/>
          <w:sz w:val="28"/>
          <w:szCs w:val="28"/>
        </w:rPr>
        <w:t>显著</w:t>
      </w:r>
      <w:r>
        <w:rPr>
          <w:rStyle w:val="18"/>
          <w:rFonts w:hint="eastAsia" w:ascii="仿宋_GB2312" w:hAnsi="宋体" w:eastAsia="仿宋_GB2312"/>
          <w:b w:val="0"/>
          <w:bCs w:val="0"/>
          <w:spacing w:val="-4"/>
          <w:sz w:val="28"/>
          <w:szCs w:val="28"/>
          <w:lang w:eastAsia="zh-CN"/>
        </w:rPr>
        <w:t>。</w:t>
      </w:r>
    </w:p>
    <w:p>
      <w:pPr>
        <w:pStyle w:val="22"/>
        <w:numPr>
          <w:ilvl w:val="0"/>
          <w:numId w:val="0"/>
        </w:numPr>
        <w:tabs>
          <w:tab w:val="left" w:pos="312"/>
        </w:tabs>
        <w:spacing w:line="360" w:lineRule="auto"/>
        <w:ind w:firstLine="544" w:firstLineChars="200"/>
        <w:rPr>
          <w:rStyle w:val="18"/>
          <w:rFonts w:hint="eastAsia" w:ascii="仿宋_GB2312" w:hAnsi="宋体" w:eastAsia="仿宋_GB2312"/>
          <w:b w:val="0"/>
          <w:bCs w:val="0"/>
          <w:spacing w:val="-4"/>
          <w:sz w:val="28"/>
          <w:szCs w:val="28"/>
          <w:highlight w:val="none"/>
          <w:lang w:val="en-US" w:eastAsia="zh-CN"/>
        </w:rPr>
      </w:pPr>
      <w:r>
        <w:rPr>
          <w:rStyle w:val="18"/>
          <w:rFonts w:hint="eastAsia" w:ascii="仿宋_GB2312" w:hAnsi="宋体" w:eastAsia="仿宋_GB2312"/>
          <w:b w:val="0"/>
          <w:bCs w:val="0"/>
          <w:spacing w:val="-4"/>
          <w:sz w:val="28"/>
          <w:szCs w:val="28"/>
          <w:highlight w:val="none"/>
          <w:lang w:val="en-US" w:eastAsia="zh-CN"/>
        </w:rPr>
        <w:t>4、财政支出</w:t>
      </w:r>
      <w:r>
        <w:rPr>
          <w:rStyle w:val="18"/>
          <w:rFonts w:hint="eastAsia" w:ascii="仿宋_GB2312" w:hAnsi="宋体" w:eastAsia="仿宋_GB2312"/>
          <w:b w:val="0"/>
          <w:bCs w:val="0"/>
          <w:spacing w:val="-4"/>
          <w:sz w:val="28"/>
          <w:szCs w:val="28"/>
          <w:highlight w:val="none"/>
        </w:rPr>
        <w:t>全面达标，</w:t>
      </w:r>
      <w:r>
        <w:rPr>
          <w:rStyle w:val="18"/>
          <w:rFonts w:hint="eastAsia" w:ascii="仿宋_GB2312" w:hAnsi="宋体" w:eastAsia="仿宋_GB2312"/>
          <w:b w:val="0"/>
          <w:bCs w:val="0"/>
          <w:spacing w:val="-4"/>
          <w:sz w:val="28"/>
          <w:szCs w:val="28"/>
          <w:highlight w:val="none"/>
          <w:lang w:eastAsia="zh-CN"/>
        </w:rPr>
        <w:t>基础实施完善，居民生活环境及人均收入有效提高，不断加大民生领域投入，提高公共服务供给质量，来往旅客及群众满意度高。</w:t>
      </w:r>
    </w:p>
    <w:p>
      <w:pPr>
        <w:pStyle w:val="6"/>
        <w:spacing w:line="360" w:lineRule="auto"/>
        <w:ind w:firstLine="643" w:firstLineChars="200"/>
        <w:rPr>
          <w:rStyle w:val="18"/>
          <w:rFonts w:ascii="仿宋" w:hAnsi="仿宋" w:eastAsia="仿宋"/>
          <w:b/>
          <w:bCs/>
        </w:rPr>
      </w:pPr>
      <w:bookmarkStart w:id="30" w:name="_Toc70450316"/>
      <w:r>
        <w:rPr>
          <w:rStyle w:val="18"/>
          <w:rFonts w:hint="eastAsia" w:ascii="仿宋" w:hAnsi="仿宋" w:eastAsia="仿宋"/>
          <w:b/>
          <w:bCs/>
        </w:rPr>
        <w:t>（三）有效性评价</w:t>
      </w:r>
      <w:bookmarkEnd w:id="30"/>
    </w:p>
    <w:p>
      <w:pPr>
        <w:spacing w:line="360" w:lineRule="auto"/>
        <w:ind w:firstLine="544" w:firstLineChars="200"/>
        <w:rPr>
          <w:rStyle w:val="18"/>
          <w:rFonts w:ascii="仿宋_GB2312" w:hAnsi="宋体" w:eastAsia="仿宋_GB2312"/>
          <w:b w:val="0"/>
          <w:bCs w:val="0"/>
          <w:color w:val="auto"/>
          <w:spacing w:val="-4"/>
          <w:sz w:val="28"/>
          <w:szCs w:val="28"/>
        </w:rPr>
      </w:pPr>
      <w:r>
        <w:rPr>
          <w:rStyle w:val="18"/>
          <w:rFonts w:hint="eastAsia" w:ascii="仿宋_GB2312" w:hAnsi="宋体" w:eastAsia="仿宋_GB2312"/>
          <w:b w:val="0"/>
          <w:bCs w:val="0"/>
          <w:color w:val="auto"/>
          <w:spacing w:val="-4"/>
          <w:sz w:val="28"/>
          <w:szCs w:val="28"/>
        </w:rPr>
        <w:t>202</w:t>
      </w:r>
      <w:r>
        <w:rPr>
          <w:rStyle w:val="18"/>
          <w:rFonts w:hint="eastAsia" w:ascii="仿宋_GB2312" w:hAnsi="宋体" w:eastAsia="仿宋_GB2312"/>
          <w:b w:val="0"/>
          <w:bCs w:val="0"/>
          <w:color w:val="auto"/>
          <w:spacing w:val="-4"/>
          <w:sz w:val="28"/>
          <w:szCs w:val="28"/>
          <w:lang w:val="en-US" w:eastAsia="zh-CN"/>
        </w:rPr>
        <w:t>1</w:t>
      </w:r>
      <w:r>
        <w:rPr>
          <w:rStyle w:val="18"/>
          <w:rFonts w:hint="eastAsia" w:ascii="仿宋_GB2312" w:hAnsi="宋体" w:eastAsia="仿宋_GB2312"/>
          <w:b w:val="0"/>
          <w:bCs w:val="0"/>
          <w:color w:val="auto"/>
          <w:spacing w:val="-4"/>
          <w:sz w:val="28"/>
          <w:szCs w:val="28"/>
        </w:rPr>
        <w:t>年部门支出的有效性主要体现在我单位各项工作成效上，一是</w:t>
      </w:r>
      <w:r>
        <w:rPr>
          <w:rStyle w:val="18"/>
          <w:rFonts w:hint="eastAsia" w:ascii="仿宋_GB2312" w:hAnsi="宋体" w:eastAsia="仿宋_GB2312"/>
          <w:b w:val="0"/>
          <w:bCs w:val="0"/>
          <w:color w:val="auto"/>
          <w:spacing w:val="-4"/>
          <w:sz w:val="28"/>
          <w:szCs w:val="28"/>
          <w:lang w:val="en-US" w:eastAsia="zh-CN"/>
        </w:rPr>
        <w:t>预算执行</w:t>
      </w:r>
      <w:r>
        <w:rPr>
          <w:rStyle w:val="18"/>
          <w:rFonts w:hint="eastAsia" w:ascii="仿宋_GB2312" w:hAnsi="宋体" w:eastAsia="仿宋_GB2312"/>
          <w:b w:val="0"/>
          <w:bCs w:val="0"/>
          <w:color w:val="auto"/>
          <w:spacing w:val="-4"/>
          <w:sz w:val="28"/>
          <w:szCs w:val="28"/>
        </w:rPr>
        <w:t>进一步夯实，二是</w:t>
      </w:r>
      <w:r>
        <w:rPr>
          <w:rStyle w:val="18"/>
          <w:rFonts w:hint="eastAsia" w:ascii="仿宋_GB2312" w:hAnsi="宋体" w:eastAsia="仿宋_GB2312"/>
          <w:b w:val="0"/>
          <w:bCs w:val="0"/>
          <w:color w:val="auto"/>
          <w:spacing w:val="-4"/>
          <w:sz w:val="28"/>
          <w:szCs w:val="28"/>
          <w:lang w:val="en-US" w:eastAsia="zh-CN"/>
        </w:rPr>
        <w:t>财务业务</w:t>
      </w:r>
      <w:r>
        <w:rPr>
          <w:rStyle w:val="18"/>
          <w:rFonts w:hint="eastAsia" w:ascii="仿宋_GB2312" w:hAnsi="宋体" w:eastAsia="仿宋_GB2312"/>
          <w:b w:val="0"/>
          <w:bCs w:val="0"/>
          <w:color w:val="auto"/>
          <w:spacing w:val="-4"/>
          <w:sz w:val="28"/>
          <w:szCs w:val="28"/>
        </w:rPr>
        <w:t>能力进一步提升，三是</w:t>
      </w:r>
      <w:r>
        <w:rPr>
          <w:rStyle w:val="18"/>
          <w:rFonts w:hint="eastAsia" w:ascii="仿宋_GB2312" w:hAnsi="宋体" w:eastAsia="仿宋_GB2312"/>
          <w:b w:val="0"/>
          <w:bCs w:val="0"/>
          <w:color w:val="auto"/>
          <w:spacing w:val="-4"/>
          <w:sz w:val="28"/>
          <w:szCs w:val="28"/>
          <w:lang w:val="en-US" w:eastAsia="zh-CN"/>
        </w:rPr>
        <w:t>财政监督</w:t>
      </w:r>
      <w:r>
        <w:rPr>
          <w:rStyle w:val="18"/>
          <w:rFonts w:hint="eastAsia" w:ascii="仿宋_GB2312" w:hAnsi="宋体" w:eastAsia="仿宋_GB2312"/>
          <w:b w:val="0"/>
          <w:bCs w:val="0"/>
          <w:color w:val="auto"/>
          <w:spacing w:val="-4"/>
          <w:sz w:val="28"/>
          <w:szCs w:val="28"/>
        </w:rPr>
        <w:t>进一步改善，四是</w:t>
      </w:r>
      <w:r>
        <w:rPr>
          <w:rStyle w:val="18"/>
          <w:rFonts w:hint="eastAsia" w:ascii="仿宋_GB2312" w:hAnsi="宋体" w:eastAsia="仿宋_GB2312"/>
          <w:b w:val="0"/>
          <w:bCs w:val="0"/>
          <w:color w:val="auto"/>
          <w:spacing w:val="-4"/>
          <w:sz w:val="28"/>
          <w:szCs w:val="28"/>
          <w:lang w:val="en-US" w:eastAsia="zh-CN"/>
        </w:rPr>
        <w:t>群众知晓率</w:t>
      </w:r>
      <w:r>
        <w:rPr>
          <w:rStyle w:val="18"/>
          <w:rFonts w:hint="eastAsia" w:ascii="仿宋_GB2312" w:hAnsi="宋体" w:eastAsia="仿宋_GB2312"/>
          <w:b w:val="0"/>
          <w:bCs w:val="0"/>
          <w:color w:val="auto"/>
          <w:spacing w:val="-4"/>
          <w:sz w:val="28"/>
          <w:szCs w:val="28"/>
        </w:rPr>
        <w:t>进一步提高</w:t>
      </w:r>
      <w:r>
        <w:rPr>
          <w:rStyle w:val="18"/>
          <w:rFonts w:hint="eastAsia" w:ascii="仿宋_GB2312" w:hAnsi="宋体" w:eastAsia="仿宋_GB2312"/>
          <w:b w:val="0"/>
          <w:bCs w:val="0"/>
          <w:color w:val="auto"/>
          <w:spacing w:val="-4"/>
          <w:sz w:val="28"/>
          <w:szCs w:val="28"/>
          <w:lang w:eastAsia="zh-CN"/>
        </w:rPr>
        <w:t>。</w:t>
      </w:r>
      <w:r>
        <w:rPr>
          <w:rStyle w:val="18"/>
          <w:rFonts w:hint="eastAsia" w:ascii="仿宋_GB2312" w:hAnsi="宋体" w:eastAsia="仿宋_GB2312"/>
          <w:b w:val="0"/>
          <w:bCs w:val="0"/>
          <w:color w:val="auto"/>
          <w:spacing w:val="-4"/>
          <w:sz w:val="28"/>
          <w:szCs w:val="28"/>
        </w:rPr>
        <w:t>详细情况如下：</w:t>
      </w:r>
    </w:p>
    <w:p>
      <w:pPr>
        <w:spacing w:line="360" w:lineRule="auto"/>
        <w:ind w:firstLine="816" w:firstLineChars="300"/>
        <w:rPr>
          <w:rStyle w:val="18"/>
          <w:rFonts w:ascii="宋体" w:hAnsi="宋体" w:eastAsia="宋体"/>
          <w:b w:val="0"/>
          <w:bCs w:val="0"/>
          <w:color w:val="FF0000"/>
          <w:spacing w:val="-4"/>
          <w:sz w:val="28"/>
          <w:szCs w:val="28"/>
        </w:rPr>
      </w:pPr>
    </w:p>
    <w:p>
      <w:pPr>
        <w:snapToGrid w:val="0"/>
        <w:spacing w:line="360" w:lineRule="auto"/>
        <w:ind w:firstLine="544" w:firstLineChars="200"/>
        <w:rPr>
          <w:rStyle w:val="18"/>
          <w:rFonts w:ascii="仿宋_GB2312" w:eastAsia="仿宋_GB2312" w:hAnsiTheme="minorEastAsia"/>
          <w:b w:val="0"/>
          <w:spacing w:val="-4"/>
          <w:sz w:val="28"/>
          <w:szCs w:val="28"/>
        </w:rPr>
      </w:pPr>
      <w:r>
        <w:rPr>
          <w:rStyle w:val="18"/>
          <w:rFonts w:hint="eastAsia" w:ascii="仿宋_GB2312" w:eastAsia="仿宋_GB2312" w:hAnsiTheme="minorEastAsia"/>
          <w:b w:val="0"/>
          <w:spacing w:val="-4"/>
          <w:sz w:val="28"/>
          <w:szCs w:val="28"/>
          <w:lang w:val="en-US" w:eastAsia="zh-CN"/>
        </w:rPr>
        <w:t>特克斯县阔克铁热克乡</w:t>
      </w:r>
      <w:r>
        <w:rPr>
          <w:rStyle w:val="18"/>
          <w:rFonts w:hint="eastAsia" w:ascii="仿宋_GB2312" w:eastAsia="仿宋_GB2312" w:hAnsiTheme="minorEastAsia"/>
          <w:b w:val="0"/>
          <w:spacing w:val="-4"/>
          <w:sz w:val="28"/>
          <w:szCs w:val="28"/>
        </w:rPr>
        <w:t>部门单位整体绩效目标共设置一级指标</w:t>
      </w:r>
      <w:r>
        <w:rPr>
          <w:rStyle w:val="18"/>
          <w:rFonts w:hint="eastAsia" w:ascii="仿宋_GB2312" w:eastAsia="仿宋_GB2312" w:hAnsiTheme="minorEastAsia"/>
          <w:b w:val="0"/>
          <w:spacing w:val="-4"/>
          <w:sz w:val="28"/>
          <w:szCs w:val="28"/>
          <w:lang w:val="en-US" w:eastAsia="zh-CN"/>
        </w:rPr>
        <w:t>3</w:t>
      </w:r>
      <w:r>
        <w:rPr>
          <w:rStyle w:val="18"/>
          <w:rFonts w:hint="eastAsia" w:ascii="仿宋_GB2312" w:eastAsia="仿宋_GB2312" w:hAnsiTheme="minorEastAsia"/>
          <w:b w:val="0"/>
          <w:spacing w:val="-4"/>
          <w:sz w:val="28"/>
          <w:szCs w:val="28"/>
        </w:rPr>
        <w:t>个，二级指标</w:t>
      </w:r>
      <w:r>
        <w:rPr>
          <w:rStyle w:val="18"/>
          <w:rFonts w:hint="eastAsia" w:ascii="仿宋_GB2312" w:eastAsia="仿宋_GB2312" w:hAnsiTheme="minorEastAsia"/>
          <w:b w:val="0"/>
          <w:spacing w:val="-4"/>
          <w:sz w:val="28"/>
          <w:szCs w:val="28"/>
          <w:lang w:val="en-US" w:eastAsia="zh-CN"/>
        </w:rPr>
        <w:t>8</w:t>
      </w:r>
      <w:r>
        <w:rPr>
          <w:rStyle w:val="18"/>
          <w:rFonts w:hint="eastAsia" w:ascii="仿宋_GB2312" w:eastAsia="仿宋_GB2312" w:hAnsiTheme="minorEastAsia"/>
          <w:b w:val="0"/>
          <w:spacing w:val="-4"/>
          <w:sz w:val="28"/>
          <w:szCs w:val="28"/>
        </w:rPr>
        <w:t>个，三级指标</w:t>
      </w:r>
      <w:r>
        <w:rPr>
          <w:rStyle w:val="18"/>
          <w:rFonts w:hint="eastAsia" w:ascii="仿宋_GB2312" w:eastAsia="仿宋_GB2312" w:hAnsiTheme="minorEastAsia"/>
          <w:b w:val="0"/>
          <w:spacing w:val="-4"/>
          <w:sz w:val="28"/>
          <w:szCs w:val="28"/>
          <w:lang w:val="en-US" w:eastAsia="zh-CN"/>
        </w:rPr>
        <w:t>14</w:t>
      </w:r>
      <w:r>
        <w:rPr>
          <w:rStyle w:val="18"/>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8"/>
          <w:rFonts w:ascii="仿宋_GB2312" w:hAnsi="宋体" w:eastAsia="仿宋_GB2312"/>
          <w:b w:val="0"/>
          <w:spacing w:val="-4"/>
          <w:sz w:val="28"/>
          <w:szCs w:val="28"/>
        </w:rPr>
      </w:pPr>
      <w:r>
        <w:rPr>
          <w:rStyle w:val="18"/>
          <w:rFonts w:ascii="仿宋_GB2312" w:hAnsi="宋体" w:eastAsia="仿宋_GB2312"/>
          <w:b w:val="0"/>
          <w:spacing w:val="-4"/>
          <w:sz w:val="28"/>
          <w:szCs w:val="28"/>
        </w:rPr>
        <w:t>1</w:t>
      </w:r>
      <w:r>
        <w:rPr>
          <w:rStyle w:val="18"/>
          <w:rFonts w:hint="eastAsia" w:ascii="仿宋_GB2312" w:hAnsi="宋体" w:eastAsia="仿宋_GB2312"/>
          <w:b w:val="0"/>
          <w:spacing w:val="-4"/>
          <w:sz w:val="28"/>
          <w:szCs w:val="28"/>
        </w:rPr>
        <w:t>、数量指标：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指标1：阔克铁热克乡保障性工资发放人数，指标值：=130人，实际完成值：130人，指标完成率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hint="eastAsia"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：阔克铁热克乡支出总单位，指标值：=10个，实际完成值：10个，指标完成率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hint="eastAsia" w:ascii="仿宋_GB2312" w:hAnsi="宋体" w:eastAsia="仿宋_GB2312"/>
          <w:b w:val="0"/>
          <w:spacing w:val="-4"/>
          <w:sz w:val="28"/>
          <w:szCs w:val="28"/>
          <w:highlight w:val="none"/>
          <w:lang w:val="en-US" w:eastAsia="zh-CN"/>
        </w:rPr>
        <w:t>3</w:t>
      </w:r>
      <w:r>
        <w:rPr>
          <w:rStyle w:val="18"/>
          <w:rFonts w:hint="eastAsia" w:ascii="仿宋_GB2312" w:hAnsi="宋体" w:eastAsia="仿宋_GB2312"/>
          <w:b w:val="0"/>
          <w:spacing w:val="-4"/>
          <w:sz w:val="28"/>
          <w:szCs w:val="28"/>
          <w:highlight w:val="none"/>
        </w:rPr>
        <w:t>：阔克铁热克乡</w:t>
      </w:r>
      <w:r>
        <w:rPr>
          <w:rStyle w:val="18"/>
          <w:rFonts w:hint="eastAsia" w:ascii="仿宋_GB2312" w:hAnsi="宋体" w:eastAsia="仿宋_GB2312"/>
          <w:b w:val="0"/>
          <w:spacing w:val="-4"/>
          <w:sz w:val="28"/>
          <w:szCs w:val="28"/>
          <w:highlight w:val="none"/>
          <w:lang w:val="en-US" w:eastAsia="zh-CN"/>
        </w:rPr>
        <w:t>取暖面积</w:t>
      </w:r>
      <w:r>
        <w:rPr>
          <w:rStyle w:val="18"/>
          <w:rFonts w:hint="eastAsia" w:ascii="仿宋_GB2312" w:hAnsi="宋体" w:eastAsia="仿宋_GB2312"/>
          <w:b w:val="0"/>
          <w:spacing w:val="-4"/>
          <w:sz w:val="28"/>
          <w:szCs w:val="28"/>
          <w:highlight w:val="none"/>
        </w:rPr>
        <w:t>，指标值：</w:t>
      </w:r>
      <w:r>
        <w:rPr>
          <w:rStyle w:val="18"/>
          <w:rFonts w:hint="eastAsia" w:ascii="仿宋_GB2312" w:hAnsi="宋体" w:eastAsia="仿宋_GB2312"/>
          <w:b w:val="0"/>
          <w:spacing w:val="-4"/>
          <w:sz w:val="28"/>
          <w:szCs w:val="28"/>
          <w:highlight w:val="none"/>
          <w:lang w:val="en-US" w:eastAsia="zh-CN"/>
        </w:rPr>
        <w:t>8531.66</w:t>
      </w:r>
      <w:r>
        <w:rPr>
          <w:rStyle w:val="18"/>
          <w:rFonts w:hint="eastAsia" w:ascii="仿宋_GB2312" w:hAnsi="宋体" w:eastAsia="仿宋_GB2312"/>
          <w:b w:val="0"/>
          <w:spacing w:val="-4"/>
          <w:sz w:val="28"/>
          <w:szCs w:val="28"/>
          <w:highlight w:val="none"/>
        </w:rPr>
        <w:t xml:space="preserve"> </w:t>
      </w:r>
      <w:r>
        <w:rPr>
          <w:rStyle w:val="18"/>
          <w:rFonts w:hint="eastAsia" w:ascii="仿宋_GB2312" w:hAnsi="宋体" w:eastAsia="仿宋_GB2312"/>
          <w:b w:val="0"/>
          <w:spacing w:val="-4"/>
          <w:sz w:val="28"/>
          <w:szCs w:val="28"/>
          <w:highlight w:val="none"/>
          <w:lang w:val="en-US" w:eastAsia="zh-CN"/>
        </w:rPr>
        <w:t>平方米</w:t>
      </w:r>
      <w:r>
        <w:rPr>
          <w:rStyle w:val="18"/>
          <w:rFonts w:hint="eastAsia" w:ascii="仿宋_GB2312" w:hAnsi="宋体" w:eastAsia="仿宋_GB2312"/>
          <w:b w:val="0"/>
          <w:spacing w:val="-4"/>
          <w:sz w:val="28"/>
          <w:szCs w:val="28"/>
          <w:highlight w:val="none"/>
        </w:rPr>
        <w:t xml:space="preserve"> ，实际完成值：</w:t>
      </w:r>
      <w:r>
        <w:rPr>
          <w:rStyle w:val="18"/>
          <w:rFonts w:hint="eastAsia" w:ascii="仿宋_GB2312" w:hAnsi="宋体" w:eastAsia="仿宋_GB2312"/>
          <w:b w:val="0"/>
          <w:spacing w:val="-4"/>
          <w:sz w:val="28"/>
          <w:szCs w:val="28"/>
          <w:highlight w:val="none"/>
          <w:lang w:val="en-US" w:eastAsia="zh-CN"/>
        </w:rPr>
        <w:t>8531.66平方米</w:t>
      </w:r>
      <w:r>
        <w:rPr>
          <w:rStyle w:val="18"/>
          <w:rFonts w:hint="eastAsia" w:ascii="仿宋_GB2312" w:hAnsi="宋体" w:eastAsia="仿宋_GB2312"/>
          <w:b w:val="0"/>
          <w:spacing w:val="-4"/>
          <w:sz w:val="28"/>
          <w:szCs w:val="28"/>
          <w:highlight w:val="none"/>
        </w:rPr>
        <w:t>，指标完成率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指标1：全年全乡人员工资及社保错发漏发率  ，指标值： ≤1%，实际完成值：1%，指标完成率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：人员工资及社保发放准确率 ，指标值：≥99%，实际完成值：99%，指标完成率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3</w:t>
      </w:r>
      <w:r>
        <w:rPr>
          <w:rStyle w:val="18"/>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指标1：公用经费支付及时性  ，指标值：=100% ，实际完成值：100% ，指标完成率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：人员工资及社保发放及时性，指标值：=100%，实际完成值：100% ，指标完成率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4</w:t>
      </w:r>
      <w:r>
        <w:rPr>
          <w:rStyle w:val="18"/>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指标1：人均工资福利支出  ，指标值： ≤8.768万元，实际完成值：8.768万元，指标完成率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：人均运转经费支出 ，指标值：≤1.349万元，实际完成值：1.349万元，指标完成率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5</w:t>
      </w:r>
      <w:r>
        <w:rPr>
          <w:rStyle w:val="18"/>
          <w:rFonts w:hint="eastAsia" w:ascii="仿宋_GB2312" w:hAnsi="宋体" w:eastAsia="仿宋_GB2312"/>
          <w:b w:val="0"/>
          <w:spacing w:val="-4"/>
          <w:sz w:val="28"/>
          <w:szCs w:val="28"/>
          <w:highlight w:val="none"/>
        </w:rPr>
        <w:t>、经济效益指标：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w:t>
      </w:r>
      <w:r>
        <w:rPr>
          <w:rStyle w:val="18"/>
          <w:rFonts w:hint="eastAsia" w:ascii="仿宋_GB2312" w:hAnsi="宋体" w:eastAsia="仿宋_GB2312"/>
          <w:b w:val="0"/>
          <w:spacing w:val="-4"/>
          <w:sz w:val="28"/>
          <w:szCs w:val="28"/>
          <w:highlight w:val="none"/>
          <w:lang w:eastAsia="zh-CN"/>
        </w:rPr>
        <w:t>：</w:t>
      </w:r>
      <w:r>
        <w:rPr>
          <w:rStyle w:val="18"/>
          <w:rFonts w:hint="eastAsia" w:ascii="仿宋_GB2312" w:hAnsi="宋体" w:eastAsia="仿宋_GB2312"/>
          <w:b w:val="0"/>
          <w:spacing w:val="-4"/>
          <w:sz w:val="28"/>
          <w:szCs w:val="28"/>
          <w:highlight w:val="none"/>
        </w:rPr>
        <w:t>当地居民较上年人均收入提高（%），指标值：≥10%，实际完成值：10% ，指标完成率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6</w:t>
      </w:r>
      <w:r>
        <w:rPr>
          <w:rStyle w:val="18"/>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指标1：公共服务水平提升情况，指标值：有效提升，实际完成值：有效提升，指标完成率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7</w:t>
      </w:r>
      <w:r>
        <w:rPr>
          <w:rStyle w:val="18"/>
          <w:rFonts w:hint="eastAsia" w:ascii="仿宋_GB2312" w:hAnsi="宋体" w:eastAsia="仿宋_GB2312"/>
          <w:b w:val="0"/>
          <w:spacing w:val="-4"/>
          <w:sz w:val="28"/>
          <w:szCs w:val="28"/>
          <w:highlight w:val="none"/>
        </w:rPr>
        <w:t>、生态效益指标：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 公共服务水平提升情况 ，指标值：有效提升 ，实际完成值：有效提升，指标完成率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lang w:val="en-US" w:eastAsia="zh-CN"/>
        </w:rPr>
        <w:t>8</w:t>
      </w:r>
      <w:r>
        <w:rPr>
          <w:rStyle w:val="18"/>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 辖区群众满意度 ，指标值：≥98%，实际完成值：98%，指标完成率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hint="eastAsia" w:ascii="仿宋_GB2312" w:hAnsi="宋体" w:eastAsia="仿宋_GB2312"/>
          <w:b w:val="0"/>
          <w:spacing w:val="-4"/>
          <w:sz w:val="28"/>
          <w:szCs w:val="28"/>
          <w:highlight w:val="none"/>
          <w:lang w:eastAsia="zh-CN"/>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：来往游客满意度 ，指标值：≥97%，实际完成值：97%，指标完成率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lang w:eastAsia="zh-CN"/>
        </w:rPr>
        <w:t>。</w:t>
      </w:r>
    </w:p>
    <w:p>
      <w:pPr>
        <w:spacing w:line="360" w:lineRule="auto"/>
        <w:ind w:firstLine="544" w:firstLineChars="200"/>
        <w:rPr>
          <w:rStyle w:val="18"/>
          <w:rFonts w:ascii="仿宋_GB2312" w:hAnsi="宋体" w:eastAsia="仿宋_GB2312"/>
          <w:b w:val="0"/>
          <w:bCs w:val="0"/>
          <w:color w:val="FF0000"/>
          <w:spacing w:val="-4"/>
          <w:sz w:val="28"/>
          <w:szCs w:val="28"/>
          <w:highlight w:val="yellow"/>
        </w:rPr>
      </w:pPr>
    </w:p>
    <w:p>
      <w:pPr>
        <w:pStyle w:val="14"/>
        <w:widowControl/>
        <w:numPr>
          <w:ilvl w:val="0"/>
          <w:numId w:val="4"/>
        </w:numPr>
        <w:spacing w:before="40" w:beforeAutospacing="0" w:after="0" w:afterAutospacing="0" w:line="520" w:lineRule="atLeast"/>
        <w:ind w:firstLine="723" w:firstLineChars="200"/>
        <w:jc w:val="both"/>
        <w:rPr>
          <w:rFonts w:hint="eastAsia" w:ascii="仿宋" w:hAnsi="仿宋" w:eastAsia="仿宋" w:cstheme="majorBidi"/>
          <w:b/>
          <w:bCs/>
          <w:kern w:val="2"/>
          <w:sz w:val="36"/>
          <w:szCs w:val="36"/>
          <w:lang w:val="en-US" w:eastAsia="zh-CN" w:bidi="ar"/>
        </w:rPr>
      </w:pPr>
      <w:bookmarkStart w:id="31" w:name="_Toc70450317"/>
      <w:r>
        <w:rPr>
          <w:rFonts w:hint="eastAsia" w:ascii="仿宋" w:hAnsi="仿宋" w:eastAsia="仿宋" w:cstheme="majorBidi"/>
          <w:b/>
          <w:bCs/>
          <w:kern w:val="2"/>
          <w:sz w:val="36"/>
          <w:szCs w:val="36"/>
          <w:lang w:val="en-US" w:eastAsia="zh-CN" w:bidi="ar"/>
        </w:rPr>
        <w:t>存在的主要问题</w:t>
      </w:r>
      <w:bookmarkEnd w:id="31"/>
    </w:p>
    <w:p>
      <w:pPr>
        <w:pStyle w:val="14"/>
        <w:widowControl/>
        <w:numPr>
          <w:ilvl w:val="0"/>
          <w:numId w:val="0"/>
        </w:numPr>
        <w:spacing w:before="40" w:beforeAutospacing="0" w:after="0" w:afterAutospacing="0" w:line="520" w:lineRule="atLeast"/>
        <w:ind w:firstLine="544" w:firstLineChars="20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(一)预算执行存在偏差</w:t>
      </w:r>
    </w:p>
    <w:p>
      <w:pPr>
        <w:pStyle w:val="14"/>
        <w:widowControl/>
        <w:spacing w:before="40" w:beforeAutospacing="0" w:after="0" w:afterAutospacing="0" w:line="520" w:lineRule="atLeast"/>
        <w:ind w:firstLine="52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14"/>
        <w:widowControl/>
        <w:numPr>
          <w:ilvl w:val="0"/>
          <w:numId w:val="0"/>
        </w:numPr>
        <w:spacing w:before="40" w:beforeAutospacing="0" w:after="0" w:afterAutospacing="0" w:line="520" w:lineRule="atLeast"/>
        <w:ind w:firstLine="544" w:firstLineChars="20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（二）项目细化管理工作不足。</w:t>
      </w:r>
    </w:p>
    <w:p>
      <w:pPr>
        <w:pStyle w:val="14"/>
        <w:widowControl/>
        <w:numPr>
          <w:ilvl w:val="0"/>
          <w:numId w:val="0"/>
        </w:numPr>
        <w:spacing w:before="40" w:beforeAutospacing="0" w:after="0" w:afterAutospacing="0" w:line="520" w:lineRule="atLeast"/>
        <w:ind w:firstLine="544" w:firstLineChars="20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基础建设工程经费包含小类项目较多，主要是监理费、可研费、地勘费等，在执行过程中，地勘费、可研费的使用范围并不能把握到位，造成项目遇到各种不确定因素，财政资金无法发挥最大使用效益</w:t>
      </w:r>
    </w:p>
    <w:p>
      <w:pPr>
        <w:pStyle w:val="14"/>
        <w:widowControl/>
        <w:numPr>
          <w:ilvl w:val="0"/>
          <w:numId w:val="5"/>
        </w:numPr>
        <w:spacing w:before="40" w:beforeAutospacing="0" w:after="0" w:afterAutospacing="0" w:line="520" w:lineRule="atLeast"/>
        <w:ind w:firstLine="544" w:firstLineChars="20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预算绩效管理水平仍有欠缺。</w:t>
      </w:r>
    </w:p>
    <w:p>
      <w:pPr>
        <w:pStyle w:val="14"/>
        <w:widowControl/>
        <w:numPr>
          <w:ilvl w:val="0"/>
          <w:numId w:val="0"/>
        </w:numPr>
        <w:spacing w:before="40" w:beforeAutospacing="0" w:after="0" w:afterAutospacing="0" w:line="520" w:lineRule="atLeast"/>
        <w:ind w:firstLine="544" w:firstLineChars="20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4"/>
        <w:widowControl/>
        <w:numPr>
          <w:ilvl w:val="0"/>
          <w:numId w:val="0"/>
        </w:numPr>
        <w:spacing w:before="40" w:beforeAutospacing="0" w:after="0" w:afterAutospacing="0" w:line="520" w:lineRule="atLeast"/>
        <w:ind w:firstLine="544" w:firstLineChars="20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（四）固定资产管理水平有待提高</w:t>
      </w:r>
    </w:p>
    <w:p>
      <w:pPr>
        <w:pStyle w:val="14"/>
        <w:widowControl/>
        <w:numPr>
          <w:ilvl w:val="0"/>
          <w:numId w:val="0"/>
        </w:numPr>
        <w:spacing w:before="40" w:beforeAutospacing="0" w:after="0" w:afterAutospacing="0" w:line="520" w:lineRule="atLeast"/>
        <w:ind w:firstLine="544" w:firstLineChars="20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14"/>
        <w:widowControl/>
        <w:numPr>
          <w:ilvl w:val="0"/>
          <w:numId w:val="6"/>
        </w:numPr>
        <w:spacing w:before="40" w:beforeAutospacing="0" w:after="0" w:afterAutospacing="0" w:line="520" w:lineRule="atLeast"/>
        <w:ind w:left="-90" w:leftChars="0" w:firstLine="720" w:firstLineChars="0"/>
        <w:jc w:val="both"/>
        <w:rPr>
          <w:rFonts w:hint="eastAsia" w:ascii="仿宋" w:hAnsi="仿宋" w:eastAsia="仿宋" w:cstheme="majorBidi"/>
          <w:b/>
          <w:bCs/>
          <w:kern w:val="2"/>
          <w:sz w:val="36"/>
          <w:szCs w:val="36"/>
          <w:lang w:val="en-US" w:eastAsia="zh-CN" w:bidi="ar"/>
        </w:rPr>
      </w:pPr>
      <w:bookmarkStart w:id="32" w:name="_Toc70450318"/>
      <w:r>
        <w:rPr>
          <w:rFonts w:hint="eastAsia" w:ascii="仿宋" w:hAnsi="仿宋" w:eastAsia="仿宋" w:cstheme="majorBidi"/>
          <w:b/>
          <w:bCs/>
          <w:kern w:val="2"/>
          <w:sz w:val="36"/>
          <w:szCs w:val="36"/>
          <w:lang w:val="en-US" w:eastAsia="zh-CN" w:bidi="ar"/>
        </w:rPr>
        <w:t>改进措施和建议</w:t>
      </w:r>
      <w:bookmarkEnd w:id="32"/>
    </w:p>
    <w:p>
      <w:pPr>
        <w:pStyle w:val="14"/>
        <w:widowControl/>
        <w:spacing w:before="40" w:beforeAutospacing="0" w:after="0" w:afterAutospacing="0" w:line="520" w:lineRule="atLeast"/>
        <w:ind w:firstLine="520"/>
        <w:jc w:val="both"/>
        <w:rPr>
          <w:rStyle w:val="18"/>
          <w:rFonts w:hint="eastAsia" w:ascii="仿宋" w:hAnsi="仿宋" w:eastAsia="仿宋" w:cs="Times New Roman"/>
          <w:kern w:val="2"/>
          <w:sz w:val="32"/>
          <w:szCs w:val="32"/>
          <w:highlight w:val="none"/>
          <w:lang w:val="en-US" w:eastAsia="zh-CN" w:bidi="ar-SA"/>
        </w:rPr>
      </w:pPr>
      <w:bookmarkStart w:id="33" w:name="_Toc70450319"/>
      <w:r>
        <w:rPr>
          <w:rStyle w:val="18"/>
          <w:rFonts w:hint="eastAsia" w:ascii="仿宋" w:hAnsi="仿宋" w:eastAsia="仿宋" w:cs="Times New Roman"/>
          <w:kern w:val="2"/>
          <w:sz w:val="32"/>
          <w:szCs w:val="32"/>
          <w:highlight w:val="none"/>
          <w:lang w:val="en-US" w:eastAsia="zh-CN" w:bidi="ar-SA"/>
        </w:rPr>
        <w:t>（一）改进措施</w:t>
      </w:r>
      <w:bookmarkEnd w:id="33"/>
    </w:p>
    <w:p>
      <w:pPr>
        <w:pStyle w:val="6"/>
        <w:numPr>
          <w:ilvl w:val="0"/>
          <w:numId w:val="0"/>
        </w:numPr>
        <w:spacing w:line="360" w:lineRule="auto"/>
        <w:ind w:firstLine="544" w:firstLineChars="200"/>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4"/>
        <w:widowControl/>
        <w:spacing w:before="40" w:beforeAutospacing="0" w:after="0" w:afterAutospacing="0" w:line="520" w:lineRule="atLeast"/>
        <w:ind w:firstLine="52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完善管理制度,进-步加强资产管理。严格按照《固定资产管理办法》的规定，加强固定资产管理,及时登记、更新台账，加强资产卡片管理,对各类实物资产进行全面盘点,确保账账、账实相符。</w:t>
      </w:r>
    </w:p>
    <w:p>
      <w:pPr>
        <w:pStyle w:val="14"/>
        <w:widowControl/>
        <w:spacing w:before="40" w:beforeAutospacing="0" w:after="0" w:afterAutospacing="0" w:line="520" w:lineRule="atLeast"/>
        <w:ind w:firstLine="52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加强学习。进一步明确如何参照考核体系，科学合理设定绩效目标，充分发挥预算绩效管理工作效用。</w:t>
      </w:r>
    </w:p>
    <w:p>
      <w:pPr>
        <w:pStyle w:val="14"/>
        <w:widowControl/>
        <w:spacing w:before="40" w:beforeAutospacing="0" w:after="0" w:afterAutospacing="0" w:line="520" w:lineRule="atLeast"/>
        <w:ind w:firstLine="52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财务上，会计核算要更加详细，为本单位各项工作的开展、总结、评估提供有效数据资料支撑,为各项业务工作更好的开展提供帮助。</w:t>
      </w:r>
    </w:p>
    <w:p>
      <w:pPr>
        <w:spacing w:line="360" w:lineRule="auto"/>
        <w:rPr>
          <w:rFonts w:ascii="仿宋" w:hAnsi="仿宋" w:eastAsia="仿宋"/>
          <w:sz w:val="22"/>
          <w:szCs w:val="28"/>
          <w:highlight w:val="yellow"/>
        </w:rPr>
      </w:pPr>
    </w:p>
    <w:p>
      <w:pPr>
        <w:pStyle w:val="14"/>
        <w:widowControl/>
        <w:spacing w:before="40" w:beforeAutospacing="0" w:after="0" w:afterAutospacing="0" w:line="520" w:lineRule="atLeast"/>
        <w:ind w:firstLine="520"/>
        <w:jc w:val="both"/>
        <w:rPr>
          <w:rStyle w:val="18"/>
          <w:rFonts w:hint="eastAsia" w:ascii="仿宋" w:hAnsi="仿宋" w:eastAsia="仿宋" w:cs="Times New Roman"/>
          <w:kern w:val="2"/>
          <w:sz w:val="32"/>
          <w:szCs w:val="32"/>
          <w:highlight w:val="none"/>
          <w:lang w:val="en-US" w:eastAsia="zh-CN" w:bidi="ar-SA"/>
        </w:rPr>
      </w:pPr>
      <w:bookmarkStart w:id="34" w:name="_Toc70450320"/>
      <w:r>
        <w:rPr>
          <w:rStyle w:val="18"/>
          <w:rFonts w:hint="eastAsia" w:ascii="仿宋" w:hAnsi="仿宋" w:eastAsia="仿宋" w:cs="Times New Roman"/>
          <w:kern w:val="2"/>
          <w:sz w:val="32"/>
          <w:szCs w:val="32"/>
          <w:highlight w:val="none"/>
          <w:lang w:val="en-US" w:eastAsia="zh-CN" w:bidi="ar-SA"/>
        </w:rPr>
        <w:t>（二）建议</w:t>
      </w:r>
      <w:bookmarkEnd w:id="34"/>
    </w:p>
    <w:p>
      <w:pPr>
        <w:pStyle w:val="14"/>
        <w:widowControl/>
        <w:spacing w:before="40" w:beforeAutospacing="0" w:after="0" w:afterAutospacing="0" w:line="520" w:lineRule="atLeast"/>
        <w:ind w:firstLine="52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从源头上强化对专项资金预算管理。实行专项资金预算管理，结合单位实际, 按轻重缓急统筹安排编制预算,提高预算编制科学性和合理性,优化资金结构。</w:t>
      </w:r>
    </w:p>
    <w:p>
      <w:pPr>
        <w:pStyle w:val="14"/>
        <w:widowControl/>
        <w:spacing w:before="40" w:beforeAutospacing="0" w:after="0" w:afterAutospacing="0" w:line="520" w:lineRule="atLeast"/>
        <w:ind w:firstLine="520"/>
        <w:jc w:val="both"/>
        <w:rPr>
          <w:rStyle w:val="18"/>
          <w:rFonts w:hint="eastAsia" w:ascii="仿宋" w:hAnsi="仿宋" w:eastAsia="仿宋"/>
          <w:b/>
          <w:bCs/>
          <w:highlight w:val="yellow"/>
          <w:lang w:val="en-US" w:eastAsia="zh-CN"/>
        </w:rPr>
      </w:pPr>
      <w:r>
        <w:rPr>
          <w:rStyle w:val="18"/>
          <w:rFonts w:hint="eastAsia" w:ascii="仿宋_GB2312" w:hAnsi="宋体" w:eastAsia="仿宋_GB2312" w:cs="Times New Roman"/>
          <w:b w:val="0"/>
          <w:bCs w:val="0"/>
          <w:spacing w:val="-4"/>
          <w:kern w:val="2"/>
          <w:sz w:val="28"/>
          <w:szCs w:val="28"/>
          <w:lang w:val="en-US" w:eastAsia="zh-CN" w:bidi="ar-SA"/>
        </w:rPr>
        <w:t>按时间进度分解资金使用计划。专项资金的使用，要事前做计划，事中进行控制，事后总结提高。合理安排资金使用,充分体现资金投向的目标和效益。</w:t>
      </w:r>
    </w:p>
    <w:p>
      <w:pPr>
        <w:pStyle w:val="14"/>
        <w:widowControl/>
        <w:spacing w:before="40" w:beforeAutospacing="0" w:after="0" w:afterAutospacing="0" w:line="520" w:lineRule="atLeast"/>
        <w:ind w:firstLine="520"/>
        <w:jc w:val="both"/>
        <w:rPr>
          <w:rStyle w:val="18"/>
          <w:rFonts w:hint="eastAsia" w:ascii="仿宋_GB2312" w:hAnsi="宋体" w:eastAsia="仿宋_GB2312" w:cs="Times New Roman"/>
          <w:b w:val="0"/>
          <w:bCs w:val="0"/>
          <w:spacing w:val="-4"/>
          <w:kern w:val="2"/>
          <w:sz w:val="28"/>
          <w:szCs w:val="28"/>
          <w:lang w:val="en-US" w:eastAsia="zh-CN" w:bidi="ar-SA"/>
        </w:rPr>
      </w:pPr>
      <w:r>
        <w:rPr>
          <w:rStyle w:val="18"/>
          <w:rFonts w:hint="eastAsia" w:ascii="仿宋_GB2312" w:hAnsi="宋体" w:eastAsia="仿宋_GB2312" w:cs="Times New Roman"/>
          <w:b w:val="0"/>
          <w:bCs w:val="0"/>
          <w:spacing w:val="-4"/>
          <w:kern w:val="2"/>
          <w:sz w:val="28"/>
          <w:szCs w:val="28"/>
          <w:lang w:val="en-US" w:eastAsia="zh-CN" w:bidi="ar-SA"/>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5"/>
        <w:spacing w:line="360" w:lineRule="auto"/>
        <w:rPr>
          <w:rStyle w:val="18"/>
          <w:rFonts w:ascii="仿宋" w:hAnsi="仿宋" w:eastAsia="仿宋"/>
          <w:b/>
          <w:bCs/>
          <w:sz w:val="36"/>
          <w:szCs w:val="36"/>
        </w:rPr>
      </w:pPr>
      <w:bookmarkStart w:id="35" w:name="_Toc70450321"/>
      <w:r>
        <w:rPr>
          <w:rStyle w:val="18"/>
          <w:rFonts w:hint="eastAsia" w:ascii="仿宋" w:hAnsi="仿宋" w:eastAsia="仿宋"/>
          <w:b/>
          <w:bCs/>
          <w:sz w:val="36"/>
          <w:szCs w:val="36"/>
        </w:rPr>
        <w:t>八、附表</w:t>
      </w:r>
      <w:r>
        <w:rPr>
          <w:rStyle w:val="18"/>
          <w:rFonts w:hint="eastAsia" w:ascii="仿宋" w:hAnsi="仿宋" w:eastAsia="仿宋"/>
          <w:b w:val="0"/>
          <w:bCs w:val="0"/>
          <w:spacing w:val="-4"/>
          <w:sz w:val="36"/>
          <w:szCs w:val="36"/>
        </w:rPr>
        <w:t>：</w:t>
      </w:r>
      <w:bookmarkStart w:id="36" w:name="_Hlk70450148"/>
      <w:r>
        <w:rPr>
          <w:rStyle w:val="18"/>
          <w:rFonts w:hint="eastAsia" w:ascii="仿宋" w:hAnsi="仿宋" w:eastAsia="仿宋"/>
          <w:b/>
          <w:bCs/>
          <w:sz w:val="36"/>
          <w:szCs w:val="36"/>
        </w:rPr>
        <w:t>《部门整体支出绩效目标自评表》</w:t>
      </w:r>
      <w:bookmarkEnd w:id="35"/>
      <w:bookmarkEnd w:id="36"/>
    </w:p>
    <w:p>
      <w:r>
        <w:br w:type="page"/>
      </w:r>
    </w:p>
    <w:tbl>
      <w:tblPr>
        <w:tblStyle w:val="16"/>
        <w:tblW w:w="11388" w:type="dxa"/>
        <w:tblInd w:w="-1379" w:type="dxa"/>
        <w:tblLayout w:type="fixed"/>
        <w:tblCellMar>
          <w:top w:w="0" w:type="dxa"/>
          <w:left w:w="108" w:type="dxa"/>
          <w:bottom w:w="0" w:type="dxa"/>
          <w:right w:w="108" w:type="dxa"/>
        </w:tblCellMar>
      </w:tblPr>
      <w:tblGrid>
        <w:gridCol w:w="1015"/>
        <w:gridCol w:w="1545"/>
        <w:gridCol w:w="2303"/>
        <w:gridCol w:w="1087"/>
        <w:gridCol w:w="1087"/>
        <w:gridCol w:w="1088"/>
        <w:gridCol w:w="1087"/>
        <w:gridCol w:w="544"/>
        <w:gridCol w:w="544"/>
        <w:gridCol w:w="1000"/>
        <w:gridCol w:w="88"/>
      </w:tblGrid>
      <w:tr>
        <w:tblPrEx>
          <w:tblLayout w:type="fixed"/>
          <w:tblCellMar>
            <w:top w:w="0" w:type="dxa"/>
            <w:left w:w="108" w:type="dxa"/>
            <w:bottom w:w="0" w:type="dxa"/>
            <w:right w:w="108" w:type="dxa"/>
          </w:tblCellMar>
        </w:tblPrEx>
        <w:trPr>
          <w:trHeight w:val="405" w:hRule="atLeast"/>
        </w:trPr>
        <w:tc>
          <w:tcPr>
            <w:tcW w:w="11388"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Layout w:type="fixed"/>
          <w:tblCellMar>
            <w:top w:w="0" w:type="dxa"/>
            <w:left w:w="108" w:type="dxa"/>
            <w:bottom w:w="0" w:type="dxa"/>
            <w:right w:w="108" w:type="dxa"/>
          </w:tblCellMar>
        </w:tblPrEx>
        <w:trPr>
          <w:trHeight w:val="285" w:hRule="atLeast"/>
        </w:trPr>
        <w:tc>
          <w:tcPr>
            <w:tcW w:w="11388"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Layout w:type="fixed"/>
          <w:tblCellMar>
            <w:top w:w="0" w:type="dxa"/>
            <w:left w:w="108" w:type="dxa"/>
            <w:bottom w:w="0" w:type="dxa"/>
            <w:right w:w="108" w:type="dxa"/>
          </w:tblCellMar>
        </w:tblPrEx>
        <w:trPr>
          <w:gridAfter w:val="1"/>
          <w:wAfter w:w="88" w:type="dxa"/>
          <w:trHeight w:val="285" w:hRule="atLeast"/>
        </w:trPr>
        <w:tc>
          <w:tcPr>
            <w:tcW w:w="2560"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8740"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特克斯县阔克铁热克乡人民政府</w:t>
            </w:r>
          </w:p>
        </w:tc>
      </w:tr>
      <w:tr>
        <w:tblPrEx>
          <w:tblLayout w:type="fixed"/>
          <w:tblCellMar>
            <w:top w:w="0" w:type="dxa"/>
            <w:left w:w="108" w:type="dxa"/>
            <w:bottom w:w="0" w:type="dxa"/>
            <w:right w:w="108" w:type="dxa"/>
          </w:tblCellMar>
        </w:tblPrEx>
        <w:trPr>
          <w:trHeight w:val="290" w:hRule="atLeast"/>
        </w:trPr>
        <w:tc>
          <w:tcPr>
            <w:tcW w:w="1015"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545"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任务名称</w:t>
            </w:r>
          </w:p>
        </w:tc>
        <w:tc>
          <w:tcPr>
            <w:tcW w:w="2303"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主要内容</w:t>
            </w:r>
          </w:p>
        </w:tc>
        <w:tc>
          <w:tcPr>
            <w:tcW w:w="3262"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3263"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Layout w:type="fixed"/>
          <w:tblCellMar>
            <w:top w:w="0" w:type="dxa"/>
            <w:left w:w="108" w:type="dxa"/>
            <w:bottom w:w="0" w:type="dxa"/>
            <w:right w:w="108" w:type="dxa"/>
          </w:tblCellMar>
        </w:tblPrEx>
        <w:trPr>
          <w:trHeight w:val="372" w:hRule="atLeast"/>
        </w:trPr>
        <w:tc>
          <w:tcPr>
            <w:tcW w:w="101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4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30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8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108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财政拨款</w:t>
            </w:r>
          </w:p>
        </w:tc>
        <w:tc>
          <w:tcPr>
            <w:tcW w:w="108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108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Layout w:type="fixed"/>
          <w:tblCellMar>
            <w:top w:w="0" w:type="dxa"/>
            <w:left w:w="108" w:type="dxa"/>
            <w:bottom w:w="0" w:type="dxa"/>
            <w:right w:w="108" w:type="dxa"/>
          </w:tblCellMar>
        </w:tblPrEx>
        <w:trPr>
          <w:gridAfter w:val="1"/>
          <w:wAfter w:w="88" w:type="dxa"/>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23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统发基本工资，统发津贴补贴，统发奖金，统发在职、退休人员采暖补贴，机关事业行政单位养老保险，失业保险，医疗保险缴费，在职工大病统筹保险，工伤保险。</w:t>
            </w:r>
          </w:p>
        </w:tc>
        <w:tc>
          <w:tcPr>
            <w:tcW w:w="10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1274.82 </w:t>
            </w:r>
          </w:p>
        </w:tc>
        <w:tc>
          <w:tcPr>
            <w:tcW w:w="10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1274.82 </w:t>
            </w:r>
          </w:p>
        </w:tc>
        <w:tc>
          <w:tcPr>
            <w:tcW w:w="10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10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1274.82 </w:t>
            </w:r>
          </w:p>
        </w:tc>
        <w:tc>
          <w:tcPr>
            <w:tcW w:w="108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1274.82 </w:t>
            </w:r>
          </w:p>
        </w:tc>
        <w:tc>
          <w:tcPr>
            <w:tcW w:w="1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Layout w:type="fixed"/>
          <w:tblCellMar>
            <w:top w:w="0" w:type="dxa"/>
            <w:left w:w="108" w:type="dxa"/>
            <w:bottom w:w="0" w:type="dxa"/>
            <w:right w:w="108" w:type="dxa"/>
          </w:tblCellMar>
        </w:tblPrEx>
        <w:trPr>
          <w:gridAfter w:val="1"/>
          <w:wAfter w:w="88" w:type="dxa"/>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2303"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办公费，水费，电费，邮电费，差旅费，取暖费，公务用车运行维护费</w:t>
            </w:r>
          </w:p>
        </w:tc>
        <w:tc>
          <w:tcPr>
            <w:tcW w:w="108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175.40 </w:t>
            </w:r>
          </w:p>
        </w:tc>
        <w:tc>
          <w:tcPr>
            <w:tcW w:w="10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175.40 </w:t>
            </w:r>
          </w:p>
        </w:tc>
        <w:tc>
          <w:tcPr>
            <w:tcW w:w="10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10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175.40 </w:t>
            </w:r>
          </w:p>
        </w:tc>
        <w:tc>
          <w:tcPr>
            <w:tcW w:w="108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175.40 </w:t>
            </w:r>
          </w:p>
        </w:tc>
        <w:tc>
          <w:tcPr>
            <w:tcW w:w="1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Layout w:type="fixed"/>
          <w:tblCellMar>
            <w:top w:w="0" w:type="dxa"/>
            <w:left w:w="108" w:type="dxa"/>
            <w:bottom w:w="0" w:type="dxa"/>
            <w:right w:w="108" w:type="dxa"/>
          </w:tblCellMar>
        </w:tblPrEx>
        <w:trPr>
          <w:gridAfter w:val="1"/>
          <w:wAfter w:w="88" w:type="dxa"/>
          <w:trHeight w:val="336"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84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1087"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1450.22 </w:t>
            </w:r>
          </w:p>
        </w:tc>
        <w:tc>
          <w:tcPr>
            <w:tcW w:w="108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1450.22 </w:t>
            </w:r>
          </w:p>
        </w:tc>
        <w:tc>
          <w:tcPr>
            <w:tcW w:w="10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c>
          <w:tcPr>
            <w:tcW w:w="10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1450.22 </w:t>
            </w:r>
          </w:p>
        </w:tc>
        <w:tc>
          <w:tcPr>
            <w:tcW w:w="108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 xml:space="preserve">1450.22 </w:t>
            </w:r>
          </w:p>
        </w:tc>
        <w:tc>
          <w:tcPr>
            <w:tcW w:w="1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Layout w:type="fixed"/>
          <w:tblCellMar>
            <w:top w:w="0" w:type="dxa"/>
            <w:left w:w="108" w:type="dxa"/>
            <w:bottom w:w="0" w:type="dxa"/>
            <w:right w:w="108" w:type="dxa"/>
          </w:tblCellMar>
        </w:tblPrEx>
        <w:trPr>
          <w:gridAfter w:val="1"/>
          <w:wAfter w:w="88" w:type="dxa"/>
          <w:trHeight w:val="384" w:hRule="atLeast"/>
        </w:trPr>
        <w:tc>
          <w:tcPr>
            <w:tcW w:w="1015"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935"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5350"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4935"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目标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 目标2：保证单位财政供养人员基本工资、津贴补贴、艰边补助预算的收支，保证单位工作正常开展和各项任务顺利完成。</w:t>
            </w:r>
          </w:p>
        </w:tc>
        <w:tc>
          <w:tcPr>
            <w:tcW w:w="5438"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目标2：保证单位财政供养人员基本工资、津贴补贴、艰边补助预算的收支，保证单位工作正常开展和各项任务顺利完成</w:t>
            </w:r>
          </w:p>
        </w:tc>
      </w:tr>
      <w:tr>
        <w:tblPrEx>
          <w:tblLayout w:type="fixed"/>
          <w:tblCellMar>
            <w:top w:w="0" w:type="dxa"/>
            <w:left w:w="108" w:type="dxa"/>
            <w:bottom w:w="0" w:type="dxa"/>
            <w:right w:w="108" w:type="dxa"/>
          </w:tblCellMar>
        </w:tblPrEx>
        <w:trPr>
          <w:trHeight w:val="2070" w:hRule="atLeast"/>
        </w:trPr>
        <w:tc>
          <w:tcPr>
            <w:tcW w:w="1015"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54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230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二级指标</w:t>
            </w:r>
          </w:p>
        </w:tc>
        <w:tc>
          <w:tcPr>
            <w:tcW w:w="3262"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63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632"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Layout w:type="fixed"/>
          <w:tblCellMar>
            <w:top w:w="0" w:type="dxa"/>
            <w:left w:w="108" w:type="dxa"/>
            <w:bottom w:w="0" w:type="dxa"/>
            <w:right w:w="108" w:type="dxa"/>
          </w:tblCellMar>
        </w:tblPrEx>
        <w:trPr>
          <w:trHeight w:val="885" w:hRule="atLeast"/>
        </w:trPr>
        <w:tc>
          <w:tcPr>
            <w:tcW w:w="101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45"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2303"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3262"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阔克铁热克乡保障性工资发放人数</w:t>
            </w:r>
          </w:p>
        </w:tc>
        <w:tc>
          <w:tcPr>
            <w:tcW w:w="163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xml:space="preserve"> =130人</w:t>
            </w:r>
          </w:p>
        </w:tc>
        <w:tc>
          <w:tcPr>
            <w:tcW w:w="1632"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130人</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303"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326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阔克铁热克乡支出总单位</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=10个</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10个</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03"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326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取暖面积</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8531.66平方米</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8531.66平方米</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03"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326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全年全乡人员工资及社保错发漏发率</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03"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326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人员工资及社保发放准确率</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≥99%</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99%</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03"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326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公用经费支付及时性</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03"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3262" w:type="dxa"/>
            <w:gridSpan w:val="3"/>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人员工资及社保发放及时性</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xml:space="preserve"> =100%</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03"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326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人均工资福利支出</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≤8.768万元</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8.768万元</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03"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326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人均运转经费支出</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≤1.349万元</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1.349万元</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2303"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经济效益指标</w:t>
            </w:r>
          </w:p>
        </w:tc>
        <w:tc>
          <w:tcPr>
            <w:tcW w:w="3262" w:type="dxa"/>
            <w:gridSpan w:val="3"/>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当地居民较上年人均收入提高（%）</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03"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3262" w:type="dxa"/>
            <w:gridSpan w:val="3"/>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公共服务水平提升情况</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有效提升</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有效提升</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03"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生态效益指标</w:t>
            </w:r>
          </w:p>
        </w:tc>
        <w:tc>
          <w:tcPr>
            <w:tcW w:w="326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公共服务水平提升情况</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有效提升</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有效提升</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303"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326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辖区群众满意度</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≥98%</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98%</w:t>
            </w:r>
          </w:p>
        </w:tc>
      </w:tr>
      <w:tr>
        <w:tblPrEx>
          <w:tblLayout w:type="fixed"/>
          <w:tblCellMar>
            <w:top w:w="0" w:type="dxa"/>
            <w:left w:w="108" w:type="dxa"/>
            <w:bottom w:w="0" w:type="dxa"/>
            <w:right w:w="108" w:type="dxa"/>
          </w:tblCellMar>
        </w:tblPrEx>
        <w:trPr>
          <w:trHeight w:val="285" w:hRule="atLeast"/>
        </w:trPr>
        <w:tc>
          <w:tcPr>
            <w:tcW w:w="101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03"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326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来往游客满意度</w:t>
            </w:r>
          </w:p>
        </w:tc>
        <w:tc>
          <w:tcPr>
            <w:tcW w:w="163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≥97%</w:t>
            </w:r>
          </w:p>
        </w:tc>
        <w:tc>
          <w:tcPr>
            <w:tcW w:w="1632"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97%</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9"/>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9FEA3"/>
    <w:multiLevelType w:val="singleLevel"/>
    <w:tmpl w:val="8EB9FEA3"/>
    <w:lvl w:ilvl="0" w:tentative="0">
      <w:start w:val="3"/>
      <w:numFmt w:val="chineseCounting"/>
      <w:suff w:val="nothing"/>
      <w:lvlText w:val="（%1）"/>
      <w:lvlJc w:val="left"/>
      <w:rPr>
        <w:rFonts w:hint="eastAsia"/>
      </w:rPr>
    </w:lvl>
  </w:abstractNum>
  <w:abstractNum w:abstractNumId="1">
    <w:nsid w:val="9547A8CB"/>
    <w:multiLevelType w:val="singleLevel"/>
    <w:tmpl w:val="9547A8CB"/>
    <w:lvl w:ilvl="0" w:tentative="0">
      <w:start w:val="6"/>
      <w:numFmt w:val="chineseCounting"/>
      <w:suff w:val="nothing"/>
      <w:lvlText w:val="%1、"/>
      <w:lvlJc w:val="left"/>
      <w:rPr>
        <w:rFonts w:hint="eastAsia"/>
      </w:rPr>
    </w:lvl>
  </w:abstractNum>
  <w:abstractNum w:abstractNumId="2">
    <w:nsid w:val="B260A4F5"/>
    <w:multiLevelType w:val="singleLevel"/>
    <w:tmpl w:val="B260A4F5"/>
    <w:lvl w:ilvl="0" w:tentative="0">
      <w:start w:val="1"/>
      <w:numFmt w:val="decimal"/>
      <w:suff w:val="nothing"/>
      <w:lvlText w:val="（%1）"/>
      <w:lvlJc w:val="left"/>
      <w:pPr>
        <w:ind w:left="86"/>
      </w:pPr>
    </w:lvl>
  </w:abstractNum>
  <w:abstractNum w:abstractNumId="3">
    <w:nsid w:val="C9F926DD"/>
    <w:multiLevelType w:val="singleLevel"/>
    <w:tmpl w:val="C9F926DD"/>
    <w:lvl w:ilvl="0" w:tentative="0">
      <w:start w:val="7"/>
      <w:numFmt w:val="chineseCounting"/>
      <w:suff w:val="nothing"/>
      <w:lvlText w:val="%1、"/>
      <w:lvlJc w:val="left"/>
      <w:pPr>
        <w:ind w:left="-90"/>
      </w:pPr>
      <w:rPr>
        <w:rFonts w:hint="eastAsia"/>
      </w:rPr>
    </w:lvl>
  </w:abstractNum>
  <w:abstractNum w:abstractNumId="4">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5">
    <w:nsid w:val="4DD513B7"/>
    <w:multiLevelType w:val="singleLevel"/>
    <w:tmpl w:val="4DD513B7"/>
    <w:lvl w:ilvl="0" w:tentative="0">
      <w:start w:val="3"/>
      <w:numFmt w:val="decimal"/>
      <w:suff w:val="nothing"/>
      <w:lvlText w:val="%1、"/>
      <w:lvlJc w:val="left"/>
      <w:pPr>
        <w:ind w:left="-142"/>
      </w:p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A57F1"/>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EE439E"/>
    <w:rsid w:val="00F006BD"/>
    <w:rsid w:val="00F17550"/>
    <w:rsid w:val="00F27120"/>
    <w:rsid w:val="00F341E0"/>
    <w:rsid w:val="00F36401"/>
    <w:rsid w:val="00F42445"/>
    <w:rsid w:val="00F44FCC"/>
    <w:rsid w:val="00F74974"/>
    <w:rsid w:val="00F829DE"/>
    <w:rsid w:val="00F84215"/>
    <w:rsid w:val="00F91CBB"/>
    <w:rsid w:val="010B22B0"/>
    <w:rsid w:val="01806B0D"/>
    <w:rsid w:val="01AA68DA"/>
    <w:rsid w:val="01E8748B"/>
    <w:rsid w:val="020B5D15"/>
    <w:rsid w:val="02A62291"/>
    <w:rsid w:val="0334789D"/>
    <w:rsid w:val="03375B55"/>
    <w:rsid w:val="033C49A3"/>
    <w:rsid w:val="03CB7CE8"/>
    <w:rsid w:val="0412788F"/>
    <w:rsid w:val="05371AD2"/>
    <w:rsid w:val="054E09BE"/>
    <w:rsid w:val="06020126"/>
    <w:rsid w:val="06E25862"/>
    <w:rsid w:val="06F97FF1"/>
    <w:rsid w:val="07EE356D"/>
    <w:rsid w:val="081A063F"/>
    <w:rsid w:val="084A71AD"/>
    <w:rsid w:val="0A037FC9"/>
    <w:rsid w:val="0A736F6D"/>
    <w:rsid w:val="0AB24BB0"/>
    <w:rsid w:val="0B942573"/>
    <w:rsid w:val="0BFD446B"/>
    <w:rsid w:val="0C117219"/>
    <w:rsid w:val="0C687806"/>
    <w:rsid w:val="0CB23525"/>
    <w:rsid w:val="0CB35D11"/>
    <w:rsid w:val="0CFB767D"/>
    <w:rsid w:val="0D0623C9"/>
    <w:rsid w:val="0D8E04F1"/>
    <w:rsid w:val="0DD56420"/>
    <w:rsid w:val="0E9A5E97"/>
    <w:rsid w:val="0EA13EA3"/>
    <w:rsid w:val="0EF27454"/>
    <w:rsid w:val="0F607C6B"/>
    <w:rsid w:val="0FF76F83"/>
    <w:rsid w:val="1043262A"/>
    <w:rsid w:val="11C849D0"/>
    <w:rsid w:val="12A51606"/>
    <w:rsid w:val="13EA407A"/>
    <w:rsid w:val="14290F74"/>
    <w:rsid w:val="1435759E"/>
    <w:rsid w:val="1529774A"/>
    <w:rsid w:val="157446F0"/>
    <w:rsid w:val="157C73E7"/>
    <w:rsid w:val="15C50828"/>
    <w:rsid w:val="16426E3B"/>
    <w:rsid w:val="16600DC4"/>
    <w:rsid w:val="16721071"/>
    <w:rsid w:val="173A7455"/>
    <w:rsid w:val="17F92A0B"/>
    <w:rsid w:val="1807337A"/>
    <w:rsid w:val="18A079CA"/>
    <w:rsid w:val="19326F59"/>
    <w:rsid w:val="195D6EAA"/>
    <w:rsid w:val="198B22B4"/>
    <w:rsid w:val="19DA4958"/>
    <w:rsid w:val="1A1F5FA3"/>
    <w:rsid w:val="1B393A75"/>
    <w:rsid w:val="1B490A4B"/>
    <w:rsid w:val="1B756204"/>
    <w:rsid w:val="1C244B0B"/>
    <w:rsid w:val="1D8976E5"/>
    <w:rsid w:val="1E1C7F65"/>
    <w:rsid w:val="1E6C2189"/>
    <w:rsid w:val="1EB526F4"/>
    <w:rsid w:val="1EB60E4D"/>
    <w:rsid w:val="1EBD6D13"/>
    <w:rsid w:val="1EE519F8"/>
    <w:rsid w:val="1F7F413E"/>
    <w:rsid w:val="1FAC2E83"/>
    <w:rsid w:val="201E4236"/>
    <w:rsid w:val="205C5E5C"/>
    <w:rsid w:val="20B334DF"/>
    <w:rsid w:val="21243495"/>
    <w:rsid w:val="215F5FD5"/>
    <w:rsid w:val="21675D4E"/>
    <w:rsid w:val="225E628C"/>
    <w:rsid w:val="22631E9D"/>
    <w:rsid w:val="22957FDC"/>
    <w:rsid w:val="2419493C"/>
    <w:rsid w:val="249931D9"/>
    <w:rsid w:val="24DE727C"/>
    <w:rsid w:val="25E934C3"/>
    <w:rsid w:val="265C7F79"/>
    <w:rsid w:val="265F3204"/>
    <w:rsid w:val="26CD7791"/>
    <w:rsid w:val="27775436"/>
    <w:rsid w:val="27932534"/>
    <w:rsid w:val="27B31319"/>
    <w:rsid w:val="27E56B08"/>
    <w:rsid w:val="28285372"/>
    <w:rsid w:val="28365762"/>
    <w:rsid w:val="2858552C"/>
    <w:rsid w:val="294C0461"/>
    <w:rsid w:val="2A0C7AA1"/>
    <w:rsid w:val="2A1A2F1D"/>
    <w:rsid w:val="2A6D1762"/>
    <w:rsid w:val="2C2800E1"/>
    <w:rsid w:val="2C7E10D9"/>
    <w:rsid w:val="2C9E4972"/>
    <w:rsid w:val="2CD51841"/>
    <w:rsid w:val="2DC526CA"/>
    <w:rsid w:val="2E5F45A1"/>
    <w:rsid w:val="2FCA7144"/>
    <w:rsid w:val="2FCD5708"/>
    <w:rsid w:val="301F409E"/>
    <w:rsid w:val="30837BD8"/>
    <w:rsid w:val="30BA79C3"/>
    <w:rsid w:val="30CA7BB8"/>
    <w:rsid w:val="31216E03"/>
    <w:rsid w:val="314E571E"/>
    <w:rsid w:val="32650F71"/>
    <w:rsid w:val="3283725F"/>
    <w:rsid w:val="32A35DF5"/>
    <w:rsid w:val="34371578"/>
    <w:rsid w:val="34622085"/>
    <w:rsid w:val="347601C1"/>
    <w:rsid w:val="34897199"/>
    <w:rsid w:val="34F77B28"/>
    <w:rsid w:val="3529247B"/>
    <w:rsid w:val="35775243"/>
    <w:rsid w:val="35936092"/>
    <w:rsid w:val="35991C85"/>
    <w:rsid w:val="366832A7"/>
    <w:rsid w:val="37B3704D"/>
    <w:rsid w:val="37F82512"/>
    <w:rsid w:val="384F258A"/>
    <w:rsid w:val="38883A48"/>
    <w:rsid w:val="388E41D2"/>
    <w:rsid w:val="397C0FFF"/>
    <w:rsid w:val="3A0D36F7"/>
    <w:rsid w:val="3AF31088"/>
    <w:rsid w:val="3B2A7C72"/>
    <w:rsid w:val="3B4A2E09"/>
    <w:rsid w:val="3C1A2DCC"/>
    <w:rsid w:val="3CAD1E78"/>
    <w:rsid w:val="3CB15135"/>
    <w:rsid w:val="3CC42C00"/>
    <w:rsid w:val="3CFA7A46"/>
    <w:rsid w:val="3D6D5AAC"/>
    <w:rsid w:val="3DC05407"/>
    <w:rsid w:val="3DE04ECC"/>
    <w:rsid w:val="3E300685"/>
    <w:rsid w:val="3E5B38B3"/>
    <w:rsid w:val="3E907559"/>
    <w:rsid w:val="3F122481"/>
    <w:rsid w:val="3F8A4821"/>
    <w:rsid w:val="3F9E0124"/>
    <w:rsid w:val="3FDC38D4"/>
    <w:rsid w:val="404C7FFE"/>
    <w:rsid w:val="405014B2"/>
    <w:rsid w:val="40864ED4"/>
    <w:rsid w:val="40D635AB"/>
    <w:rsid w:val="40F329ED"/>
    <w:rsid w:val="41C71126"/>
    <w:rsid w:val="42051E29"/>
    <w:rsid w:val="420C21B4"/>
    <w:rsid w:val="42596990"/>
    <w:rsid w:val="427B469B"/>
    <w:rsid w:val="428366AF"/>
    <w:rsid w:val="42B775C7"/>
    <w:rsid w:val="43685459"/>
    <w:rsid w:val="43915E74"/>
    <w:rsid w:val="43D01A90"/>
    <w:rsid w:val="445A46AE"/>
    <w:rsid w:val="4487603C"/>
    <w:rsid w:val="44B36823"/>
    <w:rsid w:val="45E63298"/>
    <w:rsid w:val="45F652C4"/>
    <w:rsid w:val="46BB0903"/>
    <w:rsid w:val="477C6B53"/>
    <w:rsid w:val="47810FAB"/>
    <w:rsid w:val="478B4B7E"/>
    <w:rsid w:val="497C79DE"/>
    <w:rsid w:val="498D2E30"/>
    <w:rsid w:val="49D82274"/>
    <w:rsid w:val="4A3634C7"/>
    <w:rsid w:val="4AFD2237"/>
    <w:rsid w:val="4B3401B9"/>
    <w:rsid w:val="4BC92119"/>
    <w:rsid w:val="4C904490"/>
    <w:rsid w:val="4CE22604"/>
    <w:rsid w:val="4CFD7CE0"/>
    <w:rsid w:val="4D1A2C2C"/>
    <w:rsid w:val="4D6C7200"/>
    <w:rsid w:val="4EC0270D"/>
    <w:rsid w:val="4EED31BB"/>
    <w:rsid w:val="4F9A12B9"/>
    <w:rsid w:val="4FCF431E"/>
    <w:rsid w:val="4FE17A31"/>
    <w:rsid w:val="50096F88"/>
    <w:rsid w:val="5187285A"/>
    <w:rsid w:val="51CA13FC"/>
    <w:rsid w:val="521D6D1B"/>
    <w:rsid w:val="52D23FA9"/>
    <w:rsid w:val="52D54902"/>
    <w:rsid w:val="53AD703B"/>
    <w:rsid w:val="545C7FCE"/>
    <w:rsid w:val="54B8585F"/>
    <w:rsid w:val="555C60E5"/>
    <w:rsid w:val="56416C93"/>
    <w:rsid w:val="56C936FE"/>
    <w:rsid w:val="57B27079"/>
    <w:rsid w:val="583F158D"/>
    <w:rsid w:val="587C54AA"/>
    <w:rsid w:val="58AA42EB"/>
    <w:rsid w:val="58F653F7"/>
    <w:rsid w:val="5A32325C"/>
    <w:rsid w:val="5A3C41EF"/>
    <w:rsid w:val="5A91668D"/>
    <w:rsid w:val="5AA910E3"/>
    <w:rsid w:val="5BA7731A"/>
    <w:rsid w:val="5C2C297C"/>
    <w:rsid w:val="5C307516"/>
    <w:rsid w:val="5C523776"/>
    <w:rsid w:val="5C832886"/>
    <w:rsid w:val="5CF65B42"/>
    <w:rsid w:val="5D5A52C7"/>
    <w:rsid w:val="5D881AC4"/>
    <w:rsid w:val="5DAF5A28"/>
    <w:rsid w:val="5E293FCC"/>
    <w:rsid w:val="5E5B0C96"/>
    <w:rsid w:val="5E62211A"/>
    <w:rsid w:val="5E8A7865"/>
    <w:rsid w:val="5FC842F4"/>
    <w:rsid w:val="5FEE58AF"/>
    <w:rsid w:val="60086FF9"/>
    <w:rsid w:val="605C1614"/>
    <w:rsid w:val="608C11D7"/>
    <w:rsid w:val="60952628"/>
    <w:rsid w:val="610E2491"/>
    <w:rsid w:val="61774699"/>
    <w:rsid w:val="61A87960"/>
    <w:rsid w:val="61BD7BD2"/>
    <w:rsid w:val="624D3822"/>
    <w:rsid w:val="629008F7"/>
    <w:rsid w:val="633D0FCB"/>
    <w:rsid w:val="637728B7"/>
    <w:rsid w:val="637A5D7B"/>
    <w:rsid w:val="63E853DA"/>
    <w:rsid w:val="63FB1A06"/>
    <w:rsid w:val="64280678"/>
    <w:rsid w:val="65500277"/>
    <w:rsid w:val="659D1FEC"/>
    <w:rsid w:val="65D025CA"/>
    <w:rsid w:val="65DE2082"/>
    <w:rsid w:val="67043150"/>
    <w:rsid w:val="68BA654B"/>
    <w:rsid w:val="690C4086"/>
    <w:rsid w:val="691D5B26"/>
    <w:rsid w:val="69881F04"/>
    <w:rsid w:val="69C2222A"/>
    <w:rsid w:val="6B9B5DB9"/>
    <w:rsid w:val="6BCD6C52"/>
    <w:rsid w:val="6C0F7762"/>
    <w:rsid w:val="6C37029F"/>
    <w:rsid w:val="6CE378A6"/>
    <w:rsid w:val="6CF3388A"/>
    <w:rsid w:val="6CF92406"/>
    <w:rsid w:val="6D2A6A64"/>
    <w:rsid w:val="6DC8592C"/>
    <w:rsid w:val="6F886AE1"/>
    <w:rsid w:val="700510C2"/>
    <w:rsid w:val="703A53A5"/>
    <w:rsid w:val="71914549"/>
    <w:rsid w:val="725F0C4F"/>
    <w:rsid w:val="72656836"/>
    <w:rsid w:val="72FC72E0"/>
    <w:rsid w:val="7340321A"/>
    <w:rsid w:val="73D10844"/>
    <w:rsid w:val="73D94061"/>
    <w:rsid w:val="74804533"/>
    <w:rsid w:val="752B5352"/>
    <w:rsid w:val="754170B0"/>
    <w:rsid w:val="75B555B6"/>
    <w:rsid w:val="75FE06D3"/>
    <w:rsid w:val="765A1BA6"/>
    <w:rsid w:val="76931F7A"/>
    <w:rsid w:val="76AF0A86"/>
    <w:rsid w:val="77014FC9"/>
    <w:rsid w:val="77381827"/>
    <w:rsid w:val="77942609"/>
    <w:rsid w:val="77BC3F48"/>
    <w:rsid w:val="78056103"/>
    <w:rsid w:val="78517C87"/>
    <w:rsid w:val="787A4E75"/>
    <w:rsid w:val="789D11ED"/>
    <w:rsid w:val="792151BF"/>
    <w:rsid w:val="792603FC"/>
    <w:rsid w:val="796F62A7"/>
    <w:rsid w:val="79935991"/>
    <w:rsid w:val="79C124FE"/>
    <w:rsid w:val="7A5D21AC"/>
    <w:rsid w:val="7B0B03C3"/>
    <w:rsid w:val="7B904EA5"/>
    <w:rsid w:val="7CE57056"/>
    <w:rsid w:val="7D1F193A"/>
    <w:rsid w:val="7EA072FE"/>
    <w:rsid w:val="7EC42148"/>
    <w:rsid w:val="7EEE00A7"/>
    <w:rsid w:val="7F0F0EA9"/>
    <w:rsid w:val="7F4C4B1F"/>
    <w:rsid w:val="7FAC6129"/>
    <w:rsid w:val="7FF57A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7">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toc 3"/>
    <w:basedOn w:val="1"/>
    <w:next w:val="1"/>
    <w:unhideWhenUsed/>
    <w:qFormat/>
    <w:uiPriority w:val="39"/>
    <w:pPr>
      <w:ind w:left="840" w:leftChars="400"/>
    </w:p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4"/>
    <w:basedOn w:val="1"/>
    <w:next w:val="1"/>
    <w:unhideWhenUsed/>
    <w:qFormat/>
    <w:uiPriority w:val="39"/>
    <w:pPr>
      <w:ind w:left="1260" w:leftChars="600"/>
    </w:pPr>
  </w:style>
  <w:style w:type="paragraph" w:styleId="12">
    <w:name w:val="Subtitle"/>
    <w:basedOn w:val="1"/>
    <w:next w:val="1"/>
    <w:link w:val="25"/>
    <w:qFormat/>
    <w:uiPriority w:val="11"/>
    <w:pPr>
      <w:spacing w:before="240" w:after="60" w:line="312" w:lineRule="auto"/>
      <w:jc w:val="center"/>
      <w:outlineLvl w:val="1"/>
    </w:pPr>
    <w:rPr>
      <w:b/>
      <w:bCs/>
      <w:kern w:val="28"/>
      <w:sz w:val="32"/>
      <w:szCs w:val="32"/>
    </w:rPr>
  </w:style>
  <w:style w:type="paragraph" w:styleId="13">
    <w:name w:val="toc 2"/>
    <w:basedOn w:val="1"/>
    <w:next w:val="1"/>
    <w:unhideWhenUsed/>
    <w:qFormat/>
    <w:uiPriority w:val="39"/>
    <w:pPr>
      <w:ind w:left="420" w:leftChars="200"/>
    </w:pPr>
  </w:style>
  <w:style w:type="paragraph" w:styleId="14">
    <w:name w:val="Normal (Web)"/>
    <w:basedOn w:val="1"/>
    <w:qFormat/>
    <w:uiPriority w:val="0"/>
    <w:rPr>
      <w:sz w:val="24"/>
    </w:rPr>
  </w:style>
  <w:style w:type="paragraph" w:styleId="15">
    <w:name w:val="Title"/>
    <w:basedOn w:val="1"/>
    <w:next w:val="1"/>
    <w:link w:val="23"/>
    <w:qFormat/>
    <w:uiPriority w:val="10"/>
    <w:pPr>
      <w:spacing w:before="240" w:after="60"/>
      <w:jc w:val="center"/>
      <w:outlineLvl w:val="0"/>
    </w:pPr>
    <w:rPr>
      <w:rFonts w:asciiTheme="majorHAnsi" w:hAnsiTheme="majorHAnsi" w:eastAsiaTheme="majorEastAsia" w:cstheme="majorBidi"/>
      <w:b/>
      <w:bCs/>
      <w:sz w:val="32"/>
      <w:szCs w:val="32"/>
    </w:rPr>
  </w:style>
  <w:style w:type="character" w:styleId="18">
    <w:name w:val="Strong"/>
    <w:basedOn w:val="17"/>
    <w:qFormat/>
    <w:uiPriority w:val="0"/>
    <w:rPr>
      <w:b/>
      <w:bCs/>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页眉 字符"/>
    <w:basedOn w:val="17"/>
    <w:link w:val="10"/>
    <w:qFormat/>
    <w:uiPriority w:val="99"/>
    <w:rPr>
      <w:sz w:val="18"/>
      <w:szCs w:val="18"/>
    </w:rPr>
  </w:style>
  <w:style w:type="character" w:customStyle="1" w:styleId="21">
    <w:name w:val="页脚 字符"/>
    <w:basedOn w:val="17"/>
    <w:link w:val="9"/>
    <w:qFormat/>
    <w:uiPriority w:val="99"/>
    <w:rPr>
      <w:sz w:val="18"/>
      <w:szCs w:val="18"/>
    </w:rPr>
  </w:style>
  <w:style w:type="paragraph" w:styleId="22">
    <w:name w:val="List Paragraph"/>
    <w:basedOn w:val="1"/>
    <w:unhideWhenUsed/>
    <w:qFormat/>
    <w:uiPriority w:val="99"/>
    <w:pPr>
      <w:ind w:firstLine="420" w:firstLineChars="200"/>
    </w:pPr>
  </w:style>
  <w:style w:type="character" w:customStyle="1" w:styleId="23">
    <w:name w:val="标题 字符"/>
    <w:basedOn w:val="17"/>
    <w:link w:val="15"/>
    <w:qFormat/>
    <w:uiPriority w:val="10"/>
    <w:rPr>
      <w:rFonts w:asciiTheme="majorHAnsi" w:hAnsiTheme="majorHAnsi" w:eastAsiaTheme="majorEastAsia" w:cstheme="majorBidi"/>
      <w:b/>
      <w:bCs/>
      <w:sz w:val="32"/>
      <w:szCs w:val="32"/>
    </w:rPr>
  </w:style>
  <w:style w:type="character" w:customStyle="1" w:styleId="24">
    <w:name w:val="标题 2 字符"/>
    <w:basedOn w:val="17"/>
    <w:link w:val="5"/>
    <w:qFormat/>
    <w:uiPriority w:val="9"/>
    <w:rPr>
      <w:rFonts w:asciiTheme="majorHAnsi" w:hAnsiTheme="majorHAnsi" w:eastAsiaTheme="majorEastAsia" w:cstheme="majorBidi"/>
      <w:b/>
      <w:bCs/>
      <w:sz w:val="32"/>
      <w:szCs w:val="32"/>
    </w:rPr>
  </w:style>
  <w:style w:type="character" w:customStyle="1" w:styleId="25">
    <w:name w:val="副标题 字符"/>
    <w:basedOn w:val="17"/>
    <w:link w:val="12"/>
    <w:qFormat/>
    <w:uiPriority w:val="11"/>
    <w:rPr>
      <w:b/>
      <w:bCs/>
      <w:kern w:val="28"/>
      <w:sz w:val="32"/>
      <w:szCs w:val="32"/>
    </w:rPr>
  </w:style>
  <w:style w:type="character" w:customStyle="1" w:styleId="26">
    <w:name w:val="标题 3 字符"/>
    <w:basedOn w:val="17"/>
    <w:link w:val="6"/>
    <w:qFormat/>
    <w:uiPriority w:val="9"/>
    <w:rPr>
      <w:b/>
      <w:bCs/>
      <w:sz w:val="32"/>
      <w:szCs w:val="32"/>
    </w:rPr>
  </w:style>
  <w:style w:type="character" w:styleId="27">
    <w:name w:val="Placeholder Text"/>
    <w:basedOn w:val="17"/>
    <w:semiHidden/>
    <w:qFormat/>
    <w:uiPriority w:val="99"/>
    <w:rPr>
      <w:color w:val="808080"/>
    </w:rPr>
  </w:style>
  <w:style w:type="character" w:customStyle="1" w:styleId="28">
    <w:name w:val="标题 1 字符"/>
    <w:basedOn w:val="17"/>
    <w:link w:val="4"/>
    <w:qFormat/>
    <w:uiPriority w:val="9"/>
    <w:rPr>
      <w:b/>
      <w:bCs/>
      <w:kern w:val="44"/>
      <w:sz w:val="44"/>
      <w:szCs w:val="44"/>
    </w:rPr>
  </w:style>
  <w:style w:type="paragraph" w:customStyle="1" w:styleId="29">
    <w:name w:val="TOC 标题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0">
    <w:name w:val="标题 4 字符"/>
    <w:basedOn w:val="17"/>
    <w:link w:val="7"/>
    <w:qFormat/>
    <w:uiPriority w:val="9"/>
    <w:rPr>
      <w:rFonts w:asciiTheme="majorHAnsi" w:hAnsiTheme="majorHAnsi" w:eastAsiaTheme="majorEastAsia" w:cstheme="majorBidi"/>
      <w:b/>
      <w:bCs/>
      <w:sz w:val="28"/>
      <w:szCs w:val="28"/>
    </w:rPr>
  </w:style>
  <w:style w:type="paragraph" w:customStyle="1" w:styleId="31">
    <w:name w:val="正文1"/>
    <w:qFormat/>
    <w:uiPriority w:val="0"/>
    <w:pPr>
      <w:widowControl w:val="0"/>
      <w:suppressAutoHyphens w:val="0"/>
      <w:bidi w:val="0"/>
      <w:spacing w:before="0" w:after="0"/>
      <w:jc w:val="both"/>
    </w:pPr>
    <w:rPr>
      <w:rFonts w:ascii="Times New Roman" w:hAnsi="Times New Roman" w:eastAsia="宋体" w:cs="Times New Roman"/>
      <w:color w:val="auto"/>
      <w:kern w:val="2"/>
      <w:sz w:val="21"/>
      <w:szCs w:val="22"/>
      <w:lang w:val="en-US" w:eastAsia="zh-CN" w:bidi="ar-SA"/>
    </w:rPr>
  </w:style>
  <w:style w:type="paragraph" w:customStyle="1" w:styleId="32">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10685</Words>
  <Characters>11458</Characters>
  <Lines>72</Lines>
  <Paragraphs>20</Paragraphs>
  <TotalTime>8</TotalTime>
  <ScaleCrop>false</ScaleCrop>
  <LinksUpToDate>false</LinksUpToDate>
  <CharactersWithSpaces>11520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2023-08-11T03:34:34Z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0B83223D7CF64BC2903E99B32C394724</vt:lpwstr>
  </property>
</Properties>
</file>